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2A421" w14:textId="77777777" w:rsidR="00CF796F" w:rsidRDefault="0087786B" w:rsidP="00A60472">
      <w:pPr>
        <w:spacing w:before="74"/>
        <w:jc w:val="center"/>
        <w:rPr>
          <w:sz w:val="36"/>
        </w:rPr>
      </w:pPr>
      <w:r>
        <w:rPr>
          <w:sz w:val="36"/>
        </w:rPr>
        <w:t xml:space="preserve">The UK Nuclear Industry </w:t>
      </w:r>
      <w:r w:rsidR="00A60472">
        <w:rPr>
          <w:sz w:val="36"/>
        </w:rPr>
        <w:t xml:space="preserve">Good Practice </w:t>
      </w:r>
      <w:r>
        <w:rPr>
          <w:sz w:val="36"/>
        </w:rPr>
        <w:t>Guide to:</w:t>
      </w:r>
    </w:p>
    <w:p w14:paraId="40DF69F1" w14:textId="77777777" w:rsidR="00CF796F" w:rsidRDefault="00CF796F" w:rsidP="002F0F07">
      <w:pPr>
        <w:pStyle w:val="BodyText"/>
        <w:jc w:val="center"/>
        <w:rPr>
          <w:sz w:val="40"/>
        </w:rPr>
      </w:pPr>
    </w:p>
    <w:p w14:paraId="55F0283A" w14:textId="77777777" w:rsidR="002F0F07" w:rsidRDefault="002F0F07" w:rsidP="002F0F07">
      <w:pPr>
        <w:pStyle w:val="BodyText"/>
        <w:jc w:val="center"/>
        <w:rPr>
          <w:sz w:val="40"/>
        </w:rPr>
      </w:pPr>
    </w:p>
    <w:p w14:paraId="79442590" w14:textId="77777777" w:rsidR="002F0F07" w:rsidRDefault="0087786B">
      <w:pPr>
        <w:ind w:left="507" w:right="502"/>
        <w:jc w:val="center"/>
        <w:rPr>
          <w:b/>
          <w:color w:val="07070B"/>
          <w:sz w:val="72"/>
        </w:rPr>
      </w:pPr>
      <w:r>
        <w:rPr>
          <w:b/>
          <w:color w:val="07070B"/>
          <w:sz w:val="72"/>
        </w:rPr>
        <w:t xml:space="preserve">Appropriate </w:t>
      </w:r>
      <w:r w:rsidR="002F0F07">
        <w:rPr>
          <w:b/>
          <w:color w:val="07070B"/>
          <w:sz w:val="72"/>
        </w:rPr>
        <w:t>C</w:t>
      </w:r>
      <w:r>
        <w:rPr>
          <w:b/>
          <w:color w:val="07070B"/>
          <w:sz w:val="72"/>
        </w:rPr>
        <w:t>onservatism</w:t>
      </w:r>
    </w:p>
    <w:p w14:paraId="4662061D" w14:textId="77777777" w:rsidR="00CF796F" w:rsidRDefault="0087786B">
      <w:pPr>
        <w:ind w:left="507" w:right="502"/>
        <w:jc w:val="center"/>
        <w:rPr>
          <w:b/>
          <w:sz w:val="72"/>
        </w:rPr>
      </w:pPr>
      <w:r>
        <w:rPr>
          <w:b/>
          <w:color w:val="07070B"/>
          <w:sz w:val="72"/>
        </w:rPr>
        <w:t>in</w:t>
      </w:r>
    </w:p>
    <w:p w14:paraId="399169AA" w14:textId="77777777" w:rsidR="00CF796F" w:rsidRDefault="0087786B">
      <w:pPr>
        <w:ind w:left="505" w:right="502"/>
        <w:jc w:val="center"/>
        <w:rPr>
          <w:b/>
          <w:sz w:val="72"/>
        </w:rPr>
      </w:pPr>
      <w:r>
        <w:rPr>
          <w:b/>
          <w:color w:val="07070B"/>
          <w:w w:val="105"/>
          <w:sz w:val="72"/>
        </w:rPr>
        <w:t>Safety Cases</w:t>
      </w:r>
    </w:p>
    <w:p w14:paraId="1A8F8483" w14:textId="77777777" w:rsidR="00CF796F" w:rsidRDefault="00CF796F">
      <w:pPr>
        <w:pStyle w:val="BodyText"/>
        <w:rPr>
          <w:b/>
          <w:sz w:val="20"/>
        </w:rPr>
      </w:pPr>
    </w:p>
    <w:p w14:paraId="0EDB62B2" w14:textId="77777777" w:rsidR="00CF796F" w:rsidRDefault="00CF796F">
      <w:pPr>
        <w:pStyle w:val="BodyText"/>
        <w:rPr>
          <w:b/>
          <w:sz w:val="20"/>
        </w:rPr>
      </w:pPr>
    </w:p>
    <w:p w14:paraId="1165F69F" w14:textId="77777777" w:rsidR="00CF796F" w:rsidRDefault="00CF796F">
      <w:pPr>
        <w:pStyle w:val="BodyText"/>
        <w:rPr>
          <w:b/>
          <w:sz w:val="20"/>
        </w:rPr>
      </w:pPr>
    </w:p>
    <w:p w14:paraId="0FB2EED5" w14:textId="77777777" w:rsidR="00CF796F" w:rsidRDefault="00CF796F">
      <w:pPr>
        <w:pStyle w:val="BodyText"/>
        <w:rPr>
          <w:b/>
          <w:sz w:val="20"/>
        </w:rPr>
      </w:pPr>
    </w:p>
    <w:p w14:paraId="5E811647" w14:textId="77777777" w:rsidR="00CF796F" w:rsidRDefault="00CF796F">
      <w:pPr>
        <w:pStyle w:val="BodyText"/>
        <w:rPr>
          <w:b/>
          <w:sz w:val="20"/>
        </w:rPr>
      </w:pPr>
    </w:p>
    <w:p w14:paraId="194084C7" w14:textId="77777777" w:rsidR="00CF796F" w:rsidRDefault="002F0F07" w:rsidP="002F0F07">
      <w:pPr>
        <w:pStyle w:val="BodyText"/>
        <w:spacing w:before="6"/>
        <w:jc w:val="center"/>
        <w:rPr>
          <w:b/>
          <w:sz w:val="19"/>
        </w:rPr>
      </w:pPr>
      <w:r>
        <w:rPr>
          <w:rFonts w:ascii="Cambria" w:hAnsi="Cambria"/>
          <w:noProof/>
          <w:sz w:val="48"/>
          <w:szCs w:val="48"/>
        </w:rPr>
        <w:drawing>
          <wp:inline distT="0" distB="0" distL="0" distR="0" wp14:anchorId="088F8E49" wp14:editId="0652344E">
            <wp:extent cx="3693160" cy="1449070"/>
            <wp:effectExtent l="0" t="0" r="2540" b="0"/>
            <wp:docPr id="121" name="Picture 121" descr="C:\Users\nugenuser32\Pictures\SDF\S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ugenuser32\Pictures\SDF\SDF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160" cy="1449070"/>
                    </a:xfrm>
                    <a:prstGeom prst="rect">
                      <a:avLst/>
                    </a:prstGeom>
                    <a:noFill/>
                    <a:ln>
                      <a:noFill/>
                    </a:ln>
                  </pic:spPr>
                </pic:pic>
              </a:graphicData>
            </a:graphic>
          </wp:inline>
        </w:drawing>
      </w:r>
    </w:p>
    <w:p w14:paraId="5B3277BF" w14:textId="77777777" w:rsidR="00CF796F" w:rsidRDefault="00CF796F">
      <w:pPr>
        <w:pStyle w:val="BodyText"/>
        <w:rPr>
          <w:b/>
          <w:sz w:val="20"/>
        </w:rPr>
      </w:pPr>
    </w:p>
    <w:p w14:paraId="3A28AFBB" w14:textId="77777777" w:rsidR="00CF796F" w:rsidRDefault="00CF796F">
      <w:pPr>
        <w:pStyle w:val="BodyText"/>
        <w:rPr>
          <w:b/>
          <w:sz w:val="20"/>
        </w:rPr>
      </w:pPr>
    </w:p>
    <w:p w14:paraId="45EA6E80" w14:textId="77777777" w:rsidR="00CF796F" w:rsidRDefault="00CF796F">
      <w:pPr>
        <w:pStyle w:val="BodyText"/>
        <w:rPr>
          <w:b/>
          <w:sz w:val="20"/>
        </w:rPr>
      </w:pPr>
    </w:p>
    <w:p w14:paraId="4D9E0EF9" w14:textId="77777777" w:rsidR="00CF796F" w:rsidRDefault="00CF796F">
      <w:pPr>
        <w:pStyle w:val="BodyText"/>
        <w:rPr>
          <w:b/>
          <w:sz w:val="20"/>
        </w:rPr>
      </w:pPr>
    </w:p>
    <w:p w14:paraId="43B14491" w14:textId="77777777" w:rsidR="00CF796F" w:rsidRDefault="00CF796F">
      <w:pPr>
        <w:pStyle w:val="BodyText"/>
        <w:rPr>
          <w:b/>
          <w:sz w:val="20"/>
        </w:rPr>
      </w:pPr>
    </w:p>
    <w:p w14:paraId="02A04DEA" w14:textId="77777777" w:rsidR="00CF796F" w:rsidRDefault="00CF796F">
      <w:pPr>
        <w:pStyle w:val="BodyText"/>
        <w:rPr>
          <w:b/>
          <w:sz w:val="20"/>
        </w:rPr>
      </w:pPr>
    </w:p>
    <w:p w14:paraId="5AD9B850" w14:textId="77777777" w:rsidR="00CF796F" w:rsidRDefault="00CF796F">
      <w:pPr>
        <w:pStyle w:val="BodyText"/>
        <w:rPr>
          <w:b/>
          <w:sz w:val="20"/>
        </w:rPr>
      </w:pPr>
    </w:p>
    <w:p w14:paraId="6D80B8A4" w14:textId="77777777" w:rsidR="00CF796F" w:rsidRDefault="00CF796F">
      <w:pPr>
        <w:pStyle w:val="BodyText"/>
        <w:rPr>
          <w:b/>
          <w:sz w:val="20"/>
        </w:rPr>
      </w:pPr>
    </w:p>
    <w:p w14:paraId="7E386BC7" w14:textId="77777777" w:rsidR="00CF796F" w:rsidRDefault="00CF796F">
      <w:pPr>
        <w:pStyle w:val="BodyText"/>
        <w:rPr>
          <w:b/>
          <w:sz w:val="20"/>
        </w:rPr>
      </w:pPr>
    </w:p>
    <w:p w14:paraId="558BA967" w14:textId="77777777" w:rsidR="002F0F07" w:rsidRDefault="002F0F07">
      <w:pPr>
        <w:pStyle w:val="BodyText"/>
        <w:rPr>
          <w:b/>
          <w:sz w:val="20"/>
        </w:rPr>
      </w:pPr>
    </w:p>
    <w:p w14:paraId="69EEB4D9" w14:textId="77777777" w:rsidR="002F0F07" w:rsidRDefault="002F0F07">
      <w:pPr>
        <w:pStyle w:val="BodyText"/>
        <w:rPr>
          <w:b/>
          <w:sz w:val="20"/>
        </w:rPr>
      </w:pPr>
    </w:p>
    <w:p w14:paraId="059CE046" w14:textId="77777777" w:rsidR="00CF796F" w:rsidRDefault="00CF796F">
      <w:pPr>
        <w:pStyle w:val="BodyText"/>
        <w:rPr>
          <w:b/>
          <w:sz w:val="20"/>
        </w:rPr>
      </w:pPr>
    </w:p>
    <w:p w14:paraId="6E547F12" w14:textId="77777777" w:rsidR="00D2574F" w:rsidRDefault="00D2574F">
      <w:pPr>
        <w:pStyle w:val="BodyText"/>
        <w:rPr>
          <w:b/>
          <w:sz w:val="20"/>
        </w:rPr>
      </w:pPr>
    </w:p>
    <w:p w14:paraId="3A9BC4BC" w14:textId="77777777" w:rsidR="00CF796F" w:rsidRDefault="00CF796F">
      <w:pPr>
        <w:pStyle w:val="BodyText"/>
        <w:rPr>
          <w:b/>
          <w:sz w:val="20"/>
        </w:rPr>
      </w:pPr>
    </w:p>
    <w:p w14:paraId="04D7290E" w14:textId="77777777" w:rsidR="002F0F07" w:rsidRDefault="002F0F07">
      <w:pPr>
        <w:pStyle w:val="BodyText"/>
        <w:rPr>
          <w:b/>
          <w:sz w:val="20"/>
        </w:rPr>
      </w:pPr>
    </w:p>
    <w:p w14:paraId="4D4EBFDF" w14:textId="77777777" w:rsidR="00CF796F" w:rsidRPr="002F0F07" w:rsidRDefault="00CF796F">
      <w:pPr>
        <w:pStyle w:val="BodyText"/>
        <w:rPr>
          <w:b/>
          <w:sz w:val="20"/>
        </w:rPr>
      </w:pPr>
    </w:p>
    <w:p w14:paraId="6123BA48" w14:textId="77777777" w:rsidR="002F0F07" w:rsidRPr="00C86BE8" w:rsidRDefault="002F0F07" w:rsidP="002F0F07">
      <w:pPr>
        <w:ind w:right="-149"/>
        <w:jc w:val="center"/>
        <w:rPr>
          <w:sz w:val="26"/>
          <w:szCs w:val="26"/>
        </w:rPr>
      </w:pPr>
      <w:r w:rsidRPr="00C86BE8">
        <w:rPr>
          <w:sz w:val="26"/>
          <w:szCs w:val="26"/>
        </w:rPr>
        <w:t>This Nuclear Industry Good Practice Guide was produced by the Safety Case Forum</w:t>
      </w:r>
      <w:r w:rsidRPr="00C86BE8">
        <w:rPr>
          <w:color w:val="FF0000"/>
          <w:sz w:val="26"/>
          <w:szCs w:val="26"/>
        </w:rPr>
        <w:t xml:space="preserve"> </w:t>
      </w:r>
      <w:r w:rsidRPr="00C86BE8">
        <w:rPr>
          <w:sz w:val="26"/>
          <w:szCs w:val="26"/>
        </w:rPr>
        <w:t>and published on behalf of the Nuclear Industry Safety Directors</w:t>
      </w:r>
      <w:r>
        <w:rPr>
          <w:sz w:val="26"/>
          <w:szCs w:val="26"/>
        </w:rPr>
        <w:t>’</w:t>
      </w:r>
      <w:r w:rsidRPr="00C86BE8">
        <w:rPr>
          <w:sz w:val="26"/>
          <w:szCs w:val="26"/>
        </w:rPr>
        <w:t xml:space="preserve"> Forum (SDF)</w:t>
      </w:r>
    </w:p>
    <w:p w14:paraId="32AE480E" w14:textId="77777777" w:rsidR="002F0F07" w:rsidRDefault="002F0F07" w:rsidP="002F0F07">
      <w:pPr>
        <w:rPr>
          <w:sz w:val="28"/>
          <w:szCs w:val="28"/>
        </w:rPr>
      </w:pPr>
    </w:p>
    <w:p w14:paraId="630F0A24" w14:textId="77777777" w:rsidR="002F0F07" w:rsidRPr="00C86BE8" w:rsidRDefault="002F0F07" w:rsidP="002F0F07">
      <w:pPr>
        <w:jc w:val="center"/>
        <w:rPr>
          <w:b/>
          <w:color w:val="000000" w:themeColor="text1"/>
          <w:sz w:val="40"/>
          <w:szCs w:val="40"/>
        </w:rPr>
      </w:pPr>
      <w:r w:rsidRPr="00C86BE8">
        <w:rPr>
          <w:b/>
          <w:color w:val="000000" w:themeColor="text1"/>
          <w:sz w:val="40"/>
          <w:szCs w:val="40"/>
        </w:rPr>
        <w:t xml:space="preserve">Issue 2 – </w:t>
      </w:r>
      <w:r>
        <w:rPr>
          <w:b/>
          <w:color w:val="000000" w:themeColor="text1"/>
          <w:sz w:val="40"/>
          <w:szCs w:val="40"/>
        </w:rPr>
        <w:t>March</w:t>
      </w:r>
      <w:r w:rsidRPr="00C86BE8">
        <w:rPr>
          <w:b/>
          <w:color w:val="000000" w:themeColor="text1"/>
          <w:sz w:val="40"/>
          <w:szCs w:val="40"/>
        </w:rPr>
        <w:t xml:space="preserve"> 2020</w:t>
      </w:r>
    </w:p>
    <w:p w14:paraId="5304E4BD" w14:textId="77777777" w:rsidR="002F0F07" w:rsidRPr="002F0F07" w:rsidRDefault="002F0F07" w:rsidP="002F0F07">
      <w:pPr>
        <w:pStyle w:val="BodyText"/>
        <w:rPr>
          <w:b/>
          <w:sz w:val="20"/>
        </w:rPr>
      </w:pPr>
    </w:p>
    <w:p w14:paraId="7DC80272" w14:textId="77777777" w:rsidR="002F0F07" w:rsidRPr="002F0F07" w:rsidRDefault="002F0F07" w:rsidP="002F0F07">
      <w:pPr>
        <w:pStyle w:val="BodyText"/>
        <w:rPr>
          <w:b/>
          <w:sz w:val="20"/>
        </w:rPr>
        <w:sectPr w:rsidR="002F0F07" w:rsidRPr="002F0F07" w:rsidSect="00DD4598">
          <w:headerReference w:type="default" r:id="rId9"/>
          <w:footerReference w:type="default" r:id="rId10"/>
          <w:type w:val="continuous"/>
          <w:pgSz w:w="11900" w:h="16840"/>
          <w:pgMar w:top="1418" w:right="1134" w:bottom="1418" w:left="1134" w:header="680" w:footer="851" w:gutter="0"/>
          <w:pgNumType w:start="1"/>
          <w:cols w:space="720"/>
          <w:docGrid w:linePitch="299"/>
        </w:sectPr>
      </w:pPr>
    </w:p>
    <w:p w14:paraId="7D12BCCE" w14:textId="77777777" w:rsidR="00CF796F" w:rsidRPr="0054329B" w:rsidRDefault="0087786B" w:rsidP="0054329B">
      <w:pPr>
        <w:widowControl/>
        <w:autoSpaceDE/>
        <w:autoSpaceDN/>
        <w:spacing w:before="240" w:after="120"/>
        <w:rPr>
          <w:rFonts w:eastAsia="Times New Roman"/>
          <w:b/>
          <w:sz w:val="32"/>
          <w:szCs w:val="32"/>
          <w:lang w:val="en-GB" w:eastAsia="en-GB"/>
        </w:rPr>
      </w:pPr>
      <w:r w:rsidRPr="0054329B">
        <w:rPr>
          <w:rFonts w:eastAsia="Times New Roman"/>
          <w:b/>
          <w:sz w:val="32"/>
          <w:szCs w:val="32"/>
          <w:lang w:val="en-GB" w:eastAsia="en-GB"/>
        </w:rPr>
        <w:lastRenderedPageBreak/>
        <w:t>Revision History</w:t>
      </w:r>
    </w:p>
    <w:p w14:paraId="52E23288" w14:textId="77777777" w:rsidR="00CF796F" w:rsidRPr="0054329B" w:rsidRDefault="00CF796F" w:rsidP="0054329B">
      <w:pPr>
        <w:widowControl/>
        <w:autoSpaceDE/>
        <w:autoSpaceDN/>
        <w:spacing w:before="120" w:after="120"/>
        <w:rPr>
          <w:rFonts w:eastAsia="Times New Roman"/>
          <w:lang w:val="en-GB"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43"/>
        <w:gridCol w:w="5953"/>
      </w:tblGrid>
      <w:tr w:rsidR="00CF796F" w14:paraId="3AAAE8F7" w14:textId="77777777" w:rsidTr="0054329B">
        <w:trPr>
          <w:trHeight w:val="554"/>
        </w:trPr>
        <w:tc>
          <w:tcPr>
            <w:tcW w:w="1843" w:type="dxa"/>
            <w:shd w:val="clear" w:color="auto" w:fill="D9D9D9" w:themeFill="background1" w:themeFillShade="D9"/>
            <w:vAlign w:val="center"/>
          </w:tcPr>
          <w:p w14:paraId="4AB96372" w14:textId="77777777" w:rsidR="00CF796F" w:rsidRDefault="0087786B" w:rsidP="0054329B">
            <w:pPr>
              <w:pStyle w:val="TableParagraph"/>
              <w:spacing w:before="120" w:after="120" w:line="276" w:lineRule="exact"/>
              <w:ind w:right="19"/>
              <w:jc w:val="center"/>
              <w:rPr>
                <w:b/>
                <w:sz w:val="24"/>
              </w:rPr>
            </w:pPr>
            <w:r>
              <w:rPr>
                <w:b/>
                <w:sz w:val="24"/>
              </w:rPr>
              <w:t>Issue</w:t>
            </w:r>
            <w:r w:rsidR="0054329B">
              <w:rPr>
                <w:b/>
                <w:sz w:val="24"/>
              </w:rPr>
              <w:t xml:space="preserve"> N</w:t>
            </w:r>
            <w:r>
              <w:rPr>
                <w:b/>
                <w:sz w:val="24"/>
              </w:rPr>
              <w:t>umber</w:t>
            </w:r>
          </w:p>
        </w:tc>
        <w:tc>
          <w:tcPr>
            <w:tcW w:w="1843" w:type="dxa"/>
            <w:shd w:val="clear" w:color="auto" w:fill="D9D9D9" w:themeFill="background1" w:themeFillShade="D9"/>
            <w:vAlign w:val="center"/>
          </w:tcPr>
          <w:p w14:paraId="4528F6AA" w14:textId="77777777" w:rsidR="00CF796F" w:rsidRDefault="0087786B" w:rsidP="0054329B">
            <w:pPr>
              <w:pStyle w:val="TableParagraph"/>
              <w:spacing w:before="120" w:after="120" w:line="276" w:lineRule="exact"/>
              <w:jc w:val="center"/>
              <w:rPr>
                <w:b/>
                <w:sz w:val="24"/>
              </w:rPr>
            </w:pPr>
            <w:r>
              <w:rPr>
                <w:b/>
                <w:w w:val="95"/>
                <w:sz w:val="24"/>
              </w:rPr>
              <w:t xml:space="preserve">Revision </w:t>
            </w:r>
            <w:r>
              <w:rPr>
                <w:b/>
                <w:sz w:val="24"/>
              </w:rPr>
              <w:t>Date</w:t>
            </w:r>
          </w:p>
        </w:tc>
        <w:tc>
          <w:tcPr>
            <w:tcW w:w="5953" w:type="dxa"/>
            <w:shd w:val="clear" w:color="auto" w:fill="D9D9D9" w:themeFill="background1" w:themeFillShade="D9"/>
            <w:vAlign w:val="center"/>
          </w:tcPr>
          <w:p w14:paraId="4F8BA0F6" w14:textId="77777777" w:rsidR="00CF796F" w:rsidRDefault="0087786B" w:rsidP="0054329B">
            <w:pPr>
              <w:pStyle w:val="TableParagraph"/>
              <w:spacing w:before="120" w:after="120" w:line="274" w:lineRule="exact"/>
              <w:ind w:left="1971" w:right="1963"/>
              <w:jc w:val="center"/>
              <w:rPr>
                <w:b/>
                <w:sz w:val="24"/>
              </w:rPr>
            </w:pPr>
            <w:r>
              <w:rPr>
                <w:b/>
                <w:sz w:val="24"/>
              </w:rPr>
              <w:t>Changes</w:t>
            </w:r>
          </w:p>
        </w:tc>
      </w:tr>
      <w:tr w:rsidR="00CF796F" w14:paraId="5E6BB66B" w14:textId="77777777" w:rsidTr="0054329B">
        <w:trPr>
          <w:trHeight w:val="275"/>
        </w:trPr>
        <w:tc>
          <w:tcPr>
            <w:tcW w:w="1843" w:type="dxa"/>
          </w:tcPr>
          <w:p w14:paraId="49B81F46" w14:textId="77777777" w:rsidR="00CF796F" w:rsidRPr="0054329B" w:rsidRDefault="00431651" w:rsidP="00431651">
            <w:pPr>
              <w:widowControl/>
              <w:autoSpaceDE/>
              <w:autoSpaceDN/>
              <w:spacing w:before="60" w:after="60"/>
              <w:ind w:left="142"/>
              <w:rPr>
                <w:rFonts w:eastAsia="Times New Roman"/>
                <w:bCs/>
                <w:sz w:val="24"/>
                <w:szCs w:val="24"/>
                <w:lang w:val="en-GB" w:eastAsia="en-GB"/>
              </w:rPr>
            </w:pPr>
            <w:r>
              <w:rPr>
                <w:rFonts w:eastAsia="Times New Roman"/>
                <w:bCs/>
                <w:sz w:val="24"/>
                <w:szCs w:val="24"/>
                <w:lang w:val="en-GB" w:eastAsia="en-GB"/>
              </w:rPr>
              <w:t xml:space="preserve">Issue </w:t>
            </w:r>
            <w:r w:rsidR="0087786B" w:rsidRPr="0054329B">
              <w:rPr>
                <w:rFonts w:eastAsia="Times New Roman"/>
                <w:bCs/>
                <w:sz w:val="24"/>
                <w:szCs w:val="24"/>
                <w:lang w:val="en-GB" w:eastAsia="en-GB"/>
              </w:rPr>
              <w:t>1</w:t>
            </w:r>
          </w:p>
        </w:tc>
        <w:tc>
          <w:tcPr>
            <w:tcW w:w="1843" w:type="dxa"/>
          </w:tcPr>
          <w:p w14:paraId="3794AE93" w14:textId="77777777" w:rsidR="00CF796F" w:rsidRPr="0054329B" w:rsidRDefault="0087786B" w:rsidP="0054329B">
            <w:pPr>
              <w:widowControl/>
              <w:autoSpaceDE/>
              <w:autoSpaceDN/>
              <w:spacing w:before="60" w:after="60"/>
              <w:ind w:left="145"/>
              <w:rPr>
                <w:rFonts w:eastAsia="Times New Roman"/>
                <w:bCs/>
                <w:sz w:val="24"/>
                <w:szCs w:val="24"/>
                <w:lang w:val="en-GB" w:eastAsia="en-GB"/>
              </w:rPr>
            </w:pPr>
            <w:r w:rsidRPr="0054329B">
              <w:rPr>
                <w:rFonts w:eastAsia="Times New Roman"/>
                <w:bCs/>
                <w:sz w:val="24"/>
                <w:szCs w:val="24"/>
                <w:lang w:val="en-GB" w:eastAsia="en-GB"/>
              </w:rPr>
              <w:t>July 2015</w:t>
            </w:r>
          </w:p>
        </w:tc>
        <w:tc>
          <w:tcPr>
            <w:tcW w:w="5953" w:type="dxa"/>
          </w:tcPr>
          <w:p w14:paraId="5DFA17B0" w14:textId="77777777" w:rsidR="00CF796F" w:rsidRPr="0054329B" w:rsidRDefault="0054329B" w:rsidP="0054329B">
            <w:pPr>
              <w:widowControl/>
              <w:autoSpaceDE/>
              <w:autoSpaceDN/>
              <w:spacing w:before="60" w:after="60"/>
              <w:ind w:left="138"/>
              <w:rPr>
                <w:rFonts w:eastAsia="Times New Roman"/>
                <w:bCs/>
                <w:sz w:val="24"/>
                <w:szCs w:val="24"/>
                <w:lang w:val="en-GB" w:eastAsia="en-GB"/>
              </w:rPr>
            </w:pPr>
            <w:r>
              <w:rPr>
                <w:rFonts w:eastAsia="Times New Roman"/>
                <w:bCs/>
                <w:sz w:val="24"/>
                <w:szCs w:val="24"/>
                <w:lang w:val="en-GB" w:eastAsia="en-GB"/>
              </w:rPr>
              <w:t>Initial Publication</w:t>
            </w:r>
            <w:r w:rsidR="0087786B" w:rsidRPr="0054329B">
              <w:rPr>
                <w:rFonts w:eastAsia="Times New Roman"/>
                <w:bCs/>
                <w:sz w:val="24"/>
                <w:szCs w:val="24"/>
                <w:lang w:val="en-GB" w:eastAsia="en-GB"/>
              </w:rPr>
              <w:t>.</w:t>
            </w:r>
          </w:p>
        </w:tc>
      </w:tr>
      <w:tr w:rsidR="00CF796F" w14:paraId="437E92D8" w14:textId="77777777" w:rsidTr="0054329B">
        <w:trPr>
          <w:trHeight w:val="275"/>
        </w:trPr>
        <w:tc>
          <w:tcPr>
            <w:tcW w:w="1843" w:type="dxa"/>
          </w:tcPr>
          <w:p w14:paraId="65420DE5" w14:textId="77777777" w:rsidR="00CF796F" w:rsidRPr="0054329B" w:rsidRDefault="00431651" w:rsidP="00431651">
            <w:pPr>
              <w:widowControl/>
              <w:autoSpaceDE/>
              <w:autoSpaceDN/>
              <w:spacing w:before="60" w:after="60"/>
              <w:ind w:left="142"/>
              <w:rPr>
                <w:rFonts w:eastAsia="Times New Roman"/>
                <w:bCs/>
                <w:sz w:val="24"/>
                <w:szCs w:val="24"/>
                <w:lang w:val="en-GB" w:eastAsia="en-GB"/>
              </w:rPr>
            </w:pPr>
            <w:r>
              <w:rPr>
                <w:rFonts w:eastAsia="Times New Roman"/>
                <w:bCs/>
                <w:sz w:val="24"/>
                <w:szCs w:val="24"/>
                <w:lang w:val="en-GB" w:eastAsia="en-GB"/>
              </w:rPr>
              <w:t xml:space="preserve">Issue </w:t>
            </w:r>
            <w:r w:rsidR="0054329B" w:rsidRPr="0054329B">
              <w:rPr>
                <w:rFonts w:eastAsia="Times New Roman"/>
                <w:bCs/>
                <w:sz w:val="24"/>
                <w:szCs w:val="24"/>
                <w:lang w:val="en-GB" w:eastAsia="en-GB"/>
              </w:rPr>
              <w:t>2</w:t>
            </w:r>
          </w:p>
        </w:tc>
        <w:tc>
          <w:tcPr>
            <w:tcW w:w="1843" w:type="dxa"/>
          </w:tcPr>
          <w:p w14:paraId="321C0107" w14:textId="77777777" w:rsidR="00CF796F" w:rsidRPr="0054329B" w:rsidRDefault="0054329B" w:rsidP="0054329B">
            <w:pPr>
              <w:widowControl/>
              <w:autoSpaceDE/>
              <w:autoSpaceDN/>
              <w:spacing w:before="60" w:after="60"/>
              <w:ind w:left="145"/>
              <w:rPr>
                <w:rFonts w:eastAsia="Times New Roman"/>
                <w:bCs/>
                <w:sz w:val="24"/>
                <w:szCs w:val="24"/>
                <w:lang w:val="en-GB" w:eastAsia="en-GB"/>
              </w:rPr>
            </w:pPr>
            <w:r w:rsidRPr="0054329B">
              <w:rPr>
                <w:rFonts w:eastAsia="Times New Roman"/>
                <w:bCs/>
                <w:sz w:val="24"/>
                <w:szCs w:val="24"/>
                <w:lang w:val="en-GB" w:eastAsia="en-GB"/>
              </w:rPr>
              <w:t>March 2020</w:t>
            </w:r>
          </w:p>
        </w:tc>
        <w:tc>
          <w:tcPr>
            <w:tcW w:w="5953" w:type="dxa"/>
          </w:tcPr>
          <w:p w14:paraId="77604687" w14:textId="77777777" w:rsidR="00CF796F" w:rsidRPr="0054329B" w:rsidRDefault="0054329B" w:rsidP="0054329B">
            <w:pPr>
              <w:widowControl/>
              <w:autoSpaceDE/>
              <w:autoSpaceDN/>
              <w:spacing w:before="60" w:after="60"/>
              <w:ind w:left="138"/>
              <w:rPr>
                <w:rFonts w:eastAsia="Times New Roman"/>
                <w:bCs/>
                <w:sz w:val="24"/>
                <w:szCs w:val="24"/>
                <w:lang w:val="en-GB" w:eastAsia="en-GB"/>
              </w:rPr>
            </w:pPr>
            <w:r w:rsidRPr="0054329B">
              <w:rPr>
                <w:rFonts w:eastAsia="Times New Roman"/>
                <w:bCs/>
                <w:sz w:val="24"/>
                <w:szCs w:val="24"/>
                <w:lang w:val="en-GB" w:eastAsia="en-GB"/>
              </w:rPr>
              <w:t>Technical review and update due to time lapse.  Incorporation into new SDF Template.</w:t>
            </w:r>
          </w:p>
        </w:tc>
      </w:tr>
      <w:tr w:rsidR="0054329B" w14:paraId="225948CE" w14:textId="77777777" w:rsidTr="0054329B">
        <w:trPr>
          <w:trHeight w:val="275"/>
        </w:trPr>
        <w:tc>
          <w:tcPr>
            <w:tcW w:w="1843" w:type="dxa"/>
          </w:tcPr>
          <w:p w14:paraId="69D42E3A" w14:textId="77777777" w:rsidR="0054329B" w:rsidRPr="0054329B" w:rsidRDefault="0054329B" w:rsidP="0054329B">
            <w:pPr>
              <w:widowControl/>
              <w:autoSpaceDE/>
              <w:autoSpaceDN/>
              <w:spacing w:before="60" w:after="60"/>
              <w:jc w:val="center"/>
              <w:rPr>
                <w:rFonts w:eastAsia="Times New Roman"/>
                <w:bCs/>
                <w:sz w:val="24"/>
                <w:szCs w:val="24"/>
                <w:lang w:val="en-GB" w:eastAsia="en-GB"/>
              </w:rPr>
            </w:pPr>
          </w:p>
        </w:tc>
        <w:tc>
          <w:tcPr>
            <w:tcW w:w="1843" w:type="dxa"/>
          </w:tcPr>
          <w:p w14:paraId="0BFE4509" w14:textId="77777777" w:rsidR="0054329B" w:rsidRPr="0054329B" w:rsidRDefault="0054329B" w:rsidP="0054329B">
            <w:pPr>
              <w:widowControl/>
              <w:autoSpaceDE/>
              <w:autoSpaceDN/>
              <w:spacing w:before="60" w:after="60"/>
              <w:ind w:left="145"/>
              <w:rPr>
                <w:rFonts w:eastAsia="Times New Roman"/>
                <w:bCs/>
                <w:sz w:val="24"/>
                <w:szCs w:val="24"/>
                <w:lang w:val="en-GB" w:eastAsia="en-GB"/>
              </w:rPr>
            </w:pPr>
          </w:p>
        </w:tc>
        <w:tc>
          <w:tcPr>
            <w:tcW w:w="5953" w:type="dxa"/>
          </w:tcPr>
          <w:p w14:paraId="34AB1534" w14:textId="77777777" w:rsidR="0054329B" w:rsidRPr="0054329B" w:rsidRDefault="0054329B" w:rsidP="0054329B">
            <w:pPr>
              <w:widowControl/>
              <w:autoSpaceDE/>
              <w:autoSpaceDN/>
              <w:spacing w:before="60" w:after="60"/>
              <w:ind w:left="138"/>
              <w:rPr>
                <w:rFonts w:eastAsia="Times New Roman"/>
                <w:bCs/>
                <w:sz w:val="24"/>
                <w:szCs w:val="24"/>
                <w:lang w:val="en-GB" w:eastAsia="en-GB"/>
              </w:rPr>
            </w:pPr>
          </w:p>
        </w:tc>
      </w:tr>
    </w:tbl>
    <w:p w14:paraId="564AC34D" w14:textId="77777777" w:rsidR="00CF796F" w:rsidRPr="0054329B" w:rsidRDefault="00CF796F" w:rsidP="0054329B">
      <w:pPr>
        <w:widowControl/>
        <w:autoSpaceDE/>
        <w:autoSpaceDN/>
        <w:spacing w:before="120" w:after="120"/>
        <w:rPr>
          <w:rFonts w:eastAsia="Times New Roman"/>
          <w:lang w:val="en-GB" w:eastAsia="en-GB"/>
        </w:rPr>
      </w:pPr>
    </w:p>
    <w:p w14:paraId="0D335138" w14:textId="77777777" w:rsidR="00CF796F" w:rsidRPr="0054329B" w:rsidRDefault="00CF796F" w:rsidP="0054329B">
      <w:pPr>
        <w:widowControl/>
        <w:autoSpaceDE/>
        <w:autoSpaceDN/>
        <w:spacing w:before="120" w:after="120"/>
        <w:rPr>
          <w:rFonts w:eastAsia="Times New Roman"/>
          <w:lang w:val="en-GB" w:eastAsia="en-GB"/>
        </w:rPr>
      </w:pPr>
    </w:p>
    <w:p w14:paraId="04BF8892" w14:textId="77777777" w:rsidR="00CF796F" w:rsidRPr="0054329B" w:rsidRDefault="00CF796F" w:rsidP="0054329B">
      <w:pPr>
        <w:widowControl/>
        <w:autoSpaceDE/>
        <w:autoSpaceDN/>
        <w:spacing w:before="120" w:after="120"/>
        <w:rPr>
          <w:rFonts w:eastAsia="Times New Roman"/>
          <w:lang w:val="en-GB" w:eastAsia="en-GB"/>
        </w:rPr>
      </w:pPr>
    </w:p>
    <w:p w14:paraId="42E6F77F" w14:textId="77777777" w:rsidR="00CF796F" w:rsidRPr="0054329B" w:rsidRDefault="00CF796F" w:rsidP="0054329B">
      <w:pPr>
        <w:widowControl/>
        <w:autoSpaceDE/>
        <w:autoSpaceDN/>
        <w:spacing w:before="120" w:after="120"/>
        <w:rPr>
          <w:rFonts w:eastAsia="Times New Roman"/>
          <w:lang w:val="en-GB" w:eastAsia="en-GB"/>
        </w:rPr>
      </w:pPr>
    </w:p>
    <w:p w14:paraId="31B18E4A" w14:textId="77777777" w:rsidR="00CF796F" w:rsidRPr="0054329B" w:rsidRDefault="00CF796F" w:rsidP="0054329B">
      <w:pPr>
        <w:widowControl/>
        <w:autoSpaceDE/>
        <w:autoSpaceDN/>
        <w:spacing w:before="120" w:after="120"/>
        <w:rPr>
          <w:rFonts w:eastAsia="Times New Roman"/>
          <w:lang w:val="en-GB" w:eastAsia="en-GB"/>
        </w:rPr>
      </w:pPr>
    </w:p>
    <w:p w14:paraId="03AC8DD8" w14:textId="77777777" w:rsidR="00CF796F" w:rsidRPr="0054329B" w:rsidRDefault="00CF796F" w:rsidP="0054329B">
      <w:pPr>
        <w:widowControl/>
        <w:autoSpaceDE/>
        <w:autoSpaceDN/>
        <w:spacing w:before="120" w:after="120"/>
        <w:rPr>
          <w:rFonts w:eastAsia="Times New Roman"/>
          <w:lang w:val="en-GB" w:eastAsia="en-GB"/>
        </w:rPr>
      </w:pPr>
    </w:p>
    <w:p w14:paraId="0DCA4C99" w14:textId="77777777" w:rsidR="00CF796F" w:rsidRPr="0054329B" w:rsidRDefault="00CF796F" w:rsidP="0054329B">
      <w:pPr>
        <w:widowControl/>
        <w:autoSpaceDE/>
        <w:autoSpaceDN/>
        <w:spacing w:before="120" w:after="120"/>
        <w:rPr>
          <w:rFonts w:eastAsia="Times New Roman"/>
          <w:lang w:val="en-GB" w:eastAsia="en-GB"/>
        </w:rPr>
      </w:pPr>
    </w:p>
    <w:p w14:paraId="24E934BE" w14:textId="77777777" w:rsidR="00CF796F" w:rsidRPr="0054329B" w:rsidRDefault="00CF796F" w:rsidP="0054329B">
      <w:pPr>
        <w:widowControl/>
        <w:autoSpaceDE/>
        <w:autoSpaceDN/>
        <w:spacing w:before="120" w:after="120"/>
        <w:rPr>
          <w:rFonts w:eastAsia="Times New Roman"/>
          <w:lang w:val="en-GB" w:eastAsia="en-GB"/>
        </w:rPr>
      </w:pPr>
    </w:p>
    <w:p w14:paraId="2199287A" w14:textId="72120FD5" w:rsidR="00CF796F" w:rsidRDefault="00CF796F" w:rsidP="0054329B">
      <w:pPr>
        <w:widowControl/>
        <w:autoSpaceDE/>
        <w:autoSpaceDN/>
        <w:spacing w:before="120" w:after="120"/>
        <w:rPr>
          <w:rFonts w:eastAsia="Times New Roman"/>
          <w:lang w:val="en-GB" w:eastAsia="en-GB"/>
        </w:rPr>
      </w:pPr>
    </w:p>
    <w:p w14:paraId="39F65464" w14:textId="3A105D77" w:rsidR="00826413" w:rsidRDefault="00826413" w:rsidP="0054329B">
      <w:pPr>
        <w:widowControl/>
        <w:autoSpaceDE/>
        <w:autoSpaceDN/>
        <w:spacing w:before="120" w:after="120"/>
        <w:rPr>
          <w:rFonts w:eastAsia="Times New Roman"/>
          <w:lang w:val="en-GB" w:eastAsia="en-GB"/>
        </w:rPr>
      </w:pPr>
    </w:p>
    <w:p w14:paraId="20DE6F9B" w14:textId="77777777" w:rsidR="00826413" w:rsidRDefault="00826413" w:rsidP="0054329B">
      <w:pPr>
        <w:widowControl/>
        <w:autoSpaceDE/>
        <w:autoSpaceDN/>
        <w:spacing w:before="120" w:after="120"/>
        <w:rPr>
          <w:rFonts w:eastAsia="Times New Roman"/>
          <w:lang w:val="en-GB" w:eastAsia="en-GB"/>
        </w:rPr>
      </w:pPr>
    </w:p>
    <w:p w14:paraId="0BB2A6CB" w14:textId="77777777" w:rsidR="004A5A7F" w:rsidRDefault="004A5A7F" w:rsidP="0054329B">
      <w:pPr>
        <w:widowControl/>
        <w:autoSpaceDE/>
        <w:autoSpaceDN/>
        <w:spacing w:before="120" w:after="120"/>
        <w:rPr>
          <w:rFonts w:eastAsia="Times New Roman"/>
          <w:lang w:val="en-GB" w:eastAsia="en-GB"/>
        </w:rPr>
      </w:pPr>
    </w:p>
    <w:p w14:paraId="5FB55E62" w14:textId="77777777" w:rsidR="004A5A7F" w:rsidRDefault="004A5A7F" w:rsidP="0054329B">
      <w:pPr>
        <w:widowControl/>
        <w:autoSpaceDE/>
        <w:autoSpaceDN/>
        <w:spacing w:before="120" w:after="120"/>
        <w:rPr>
          <w:rFonts w:eastAsia="Times New Roman"/>
          <w:lang w:val="en-GB" w:eastAsia="en-GB"/>
        </w:rPr>
      </w:pPr>
    </w:p>
    <w:p w14:paraId="4BF2CEFC" w14:textId="77777777" w:rsidR="004A5A7F" w:rsidRPr="0054329B" w:rsidRDefault="004A5A7F" w:rsidP="0054329B">
      <w:pPr>
        <w:widowControl/>
        <w:autoSpaceDE/>
        <w:autoSpaceDN/>
        <w:spacing w:before="120" w:after="120"/>
        <w:rPr>
          <w:rFonts w:eastAsia="Times New Roman"/>
          <w:lang w:val="en-GB" w:eastAsia="en-GB"/>
        </w:rPr>
      </w:pPr>
    </w:p>
    <w:p w14:paraId="3CFB7D47" w14:textId="77777777" w:rsidR="00CF796F" w:rsidRPr="0054329B" w:rsidRDefault="00CF796F" w:rsidP="0054329B">
      <w:pPr>
        <w:widowControl/>
        <w:autoSpaceDE/>
        <w:autoSpaceDN/>
        <w:spacing w:before="120" w:after="120"/>
        <w:rPr>
          <w:rFonts w:eastAsia="Times New Roman"/>
          <w:lang w:val="en-GB" w:eastAsia="en-GB"/>
        </w:rPr>
      </w:pPr>
    </w:p>
    <w:p w14:paraId="1701DD92" w14:textId="77777777" w:rsidR="0054329B" w:rsidRDefault="0054329B">
      <w:pPr>
        <w:jc w:val="center"/>
        <w:rPr>
          <w:sz w:val="24"/>
        </w:rPr>
      </w:pPr>
    </w:p>
    <w:p w14:paraId="3D9DD62C" w14:textId="77777777" w:rsidR="0054329B" w:rsidRPr="0096722D" w:rsidRDefault="0054329B" w:rsidP="0054329B">
      <w:pPr>
        <w:jc w:val="center"/>
      </w:pPr>
      <w:r w:rsidRPr="0096722D">
        <w:t xml:space="preserve">It is </w:t>
      </w:r>
      <w:proofErr w:type="spellStart"/>
      <w:r w:rsidRPr="0096722D">
        <w:t>recognised</w:t>
      </w:r>
      <w:proofErr w:type="spellEnd"/>
      <w:r w:rsidRPr="0096722D">
        <w:t xml:space="preserve"> that – through the experience of using this Guide – there may be comments, questions and suggestions regarding its contents.</w:t>
      </w:r>
    </w:p>
    <w:p w14:paraId="6B2E2F4C" w14:textId="77777777" w:rsidR="0054329B" w:rsidRPr="0096722D" w:rsidRDefault="0054329B" w:rsidP="0054329B">
      <w:pPr>
        <w:jc w:val="center"/>
      </w:pPr>
    </w:p>
    <w:p w14:paraId="65D9643A" w14:textId="77777777" w:rsidR="0054329B" w:rsidRPr="0096722D" w:rsidRDefault="0054329B" w:rsidP="0054329B">
      <w:pPr>
        <w:jc w:val="center"/>
      </w:pPr>
      <w:r w:rsidRPr="0096722D">
        <w:t>In the first instance, any such comments should be sent to the following email address</w:t>
      </w:r>
    </w:p>
    <w:p w14:paraId="5FE6FB61" w14:textId="77777777" w:rsidR="0054329B" w:rsidRPr="0096722D" w:rsidRDefault="0054329B" w:rsidP="0054329B">
      <w:pPr>
        <w:jc w:val="center"/>
        <w:rPr>
          <w:rStyle w:val="Hyperlink"/>
        </w:rPr>
      </w:pPr>
      <w:r w:rsidRPr="0096722D">
        <w:rPr>
          <w:rStyle w:val="Hyperlink"/>
        </w:rPr>
        <w:t>safetycaseforum@awe.co.uk</w:t>
      </w:r>
    </w:p>
    <w:p w14:paraId="3B46B12C" w14:textId="77777777" w:rsidR="0054329B" w:rsidRDefault="0054329B" w:rsidP="0054329B">
      <w:pPr>
        <w:jc w:val="center"/>
        <w:rPr>
          <w:color w:val="000000" w:themeColor="text1"/>
        </w:rPr>
      </w:pPr>
    </w:p>
    <w:p w14:paraId="2207C545" w14:textId="77777777" w:rsidR="0054329B" w:rsidRDefault="0054329B" w:rsidP="0054329B">
      <w:pPr>
        <w:jc w:val="center"/>
        <w:rPr>
          <w:color w:val="000000" w:themeColor="text1"/>
        </w:rPr>
      </w:pPr>
    </w:p>
    <w:p w14:paraId="1F27AB34" w14:textId="77777777" w:rsidR="0054329B" w:rsidRPr="0096722D" w:rsidRDefault="0054329B" w:rsidP="0054329B">
      <w:pPr>
        <w:jc w:val="center"/>
        <w:rPr>
          <w:color w:val="000000" w:themeColor="text1"/>
        </w:rPr>
      </w:pPr>
    </w:p>
    <w:p w14:paraId="4FDFBA23" w14:textId="77777777" w:rsidR="0054329B" w:rsidRPr="0096722D" w:rsidRDefault="0054329B" w:rsidP="0054329B">
      <w:pPr>
        <w:jc w:val="center"/>
        <w:rPr>
          <w:color w:val="000000" w:themeColor="text1"/>
        </w:rPr>
      </w:pPr>
      <w:r w:rsidRPr="0096722D">
        <w:rPr>
          <w:color w:val="000000" w:themeColor="text1"/>
        </w:rPr>
        <w:t>Author:</w:t>
      </w:r>
      <w:proofErr w:type="gramStart"/>
      <w:r>
        <w:rPr>
          <w:color w:val="000000" w:themeColor="text1"/>
        </w:rPr>
        <w:tab/>
        <w:t xml:space="preserve"> </w:t>
      </w:r>
      <w:r w:rsidR="0052282D">
        <w:rPr>
          <w:color w:val="000000" w:themeColor="text1"/>
        </w:rPr>
        <w:t xml:space="preserve"> </w:t>
      </w:r>
      <w:r>
        <w:rPr>
          <w:color w:val="000000" w:themeColor="text1"/>
        </w:rPr>
        <w:t>Alec</w:t>
      </w:r>
      <w:proofErr w:type="gramEnd"/>
      <w:r>
        <w:rPr>
          <w:color w:val="000000" w:themeColor="text1"/>
        </w:rPr>
        <w:t xml:space="preserve"> Bounds (LLWR)</w:t>
      </w:r>
    </w:p>
    <w:p w14:paraId="54F4BF28" w14:textId="77777777" w:rsidR="0054329B" w:rsidRPr="0096722D" w:rsidRDefault="0054329B" w:rsidP="0054329B">
      <w:pPr>
        <w:jc w:val="center"/>
        <w:rPr>
          <w:color w:val="000000" w:themeColor="text1"/>
        </w:rPr>
      </w:pPr>
    </w:p>
    <w:p w14:paraId="4C5657B1" w14:textId="6DF884F8" w:rsidR="0054329B" w:rsidRDefault="0054329B" w:rsidP="0054329B">
      <w:pPr>
        <w:jc w:val="center"/>
        <w:rPr>
          <w:color w:val="000000" w:themeColor="text1"/>
        </w:rPr>
      </w:pPr>
      <w:bookmarkStart w:id="0" w:name="_Hlk30078090"/>
      <w:r w:rsidRPr="0096722D">
        <w:rPr>
          <w:color w:val="000000" w:themeColor="text1"/>
        </w:rPr>
        <w:t>Contributions have been provided through the Safety Case Forum by</w:t>
      </w:r>
      <w:r w:rsidR="004A5A7F">
        <w:rPr>
          <w:color w:val="000000" w:themeColor="text1"/>
        </w:rPr>
        <w:br/>
      </w:r>
      <w:r>
        <w:rPr>
          <w:color w:val="000000" w:themeColor="text1"/>
        </w:rPr>
        <w:t>all participating members</w:t>
      </w:r>
      <w:r w:rsidR="00826413">
        <w:rPr>
          <w:color w:val="000000" w:themeColor="text1"/>
        </w:rPr>
        <w:t>.</w:t>
      </w:r>
      <w:bookmarkEnd w:id="0"/>
    </w:p>
    <w:p w14:paraId="276F0C4D" w14:textId="77777777" w:rsidR="0054329B" w:rsidRDefault="0054329B" w:rsidP="0054329B">
      <w:pPr>
        <w:jc w:val="center"/>
        <w:rPr>
          <w:color w:val="000000" w:themeColor="text1"/>
        </w:rPr>
      </w:pPr>
    </w:p>
    <w:p w14:paraId="3D5B7AAA" w14:textId="77777777" w:rsidR="0054329B" w:rsidRPr="0096722D" w:rsidRDefault="0054329B" w:rsidP="0054329B">
      <w:pPr>
        <w:jc w:val="center"/>
        <w:rPr>
          <w:color w:val="000000" w:themeColor="text1"/>
        </w:rPr>
      </w:pPr>
    </w:p>
    <w:p w14:paraId="797D9EDA" w14:textId="77777777" w:rsidR="0054329B" w:rsidRPr="0096722D" w:rsidRDefault="0054329B" w:rsidP="0054329B">
      <w:pPr>
        <w:ind w:left="-142" w:right="-143"/>
        <w:jc w:val="center"/>
        <w:rPr>
          <w:color w:val="000000" w:themeColor="text1"/>
        </w:rPr>
      </w:pPr>
      <w:r w:rsidRPr="0096722D">
        <w:rPr>
          <w:color w:val="000000" w:themeColor="text1"/>
        </w:rPr>
        <w:t>This document was reviewed and approved by the Safety Case Forum</w:t>
      </w:r>
      <w:r w:rsidR="004A5A7F">
        <w:rPr>
          <w:color w:val="000000" w:themeColor="text1"/>
        </w:rPr>
        <w:br/>
      </w:r>
      <w:r w:rsidRPr="0096722D">
        <w:rPr>
          <w:color w:val="000000" w:themeColor="text1"/>
        </w:rPr>
        <w:t>of the Safety Directors’ Forum.</w:t>
      </w:r>
    </w:p>
    <w:p w14:paraId="6343FBE4" w14:textId="77777777" w:rsidR="0054329B" w:rsidRDefault="0054329B" w:rsidP="004A5A7F">
      <w:pPr>
        <w:rPr>
          <w:sz w:val="24"/>
        </w:rPr>
      </w:pPr>
    </w:p>
    <w:p w14:paraId="42234CD8" w14:textId="77777777" w:rsidR="004A5A7F" w:rsidRDefault="004A5A7F" w:rsidP="004A5A7F">
      <w:pPr>
        <w:rPr>
          <w:sz w:val="24"/>
        </w:rPr>
        <w:sectPr w:rsidR="004A5A7F" w:rsidSect="00DD4598">
          <w:pgSz w:w="11900" w:h="16840"/>
          <w:pgMar w:top="1418" w:right="1134" w:bottom="1418" w:left="1134" w:header="680" w:footer="851" w:gutter="0"/>
          <w:cols w:space="720"/>
          <w:docGrid w:linePitch="299"/>
        </w:sectPr>
      </w:pPr>
    </w:p>
    <w:p w14:paraId="5F47CD56" w14:textId="77777777" w:rsidR="00F64686" w:rsidRPr="00976DC2" w:rsidRDefault="00F64686" w:rsidP="00826413">
      <w:pPr>
        <w:pStyle w:val="Heading1"/>
        <w:numPr>
          <w:ilvl w:val="0"/>
          <w:numId w:val="0"/>
        </w:numPr>
      </w:pPr>
      <w:bookmarkStart w:id="1" w:name="_Toc408910512"/>
      <w:bookmarkStart w:id="2" w:name="_Toc50110436"/>
      <w:r w:rsidRPr="00976DC2">
        <w:lastRenderedPageBreak/>
        <w:t>Foreword</w:t>
      </w:r>
      <w:bookmarkEnd w:id="1"/>
      <w:bookmarkEnd w:id="2"/>
    </w:p>
    <w:p w14:paraId="609D5866" w14:textId="77777777" w:rsidR="00F64686" w:rsidRDefault="00F64686" w:rsidP="00372E1A">
      <w:pPr>
        <w:tabs>
          <w:tab w:val="left" w:pos="1008"/>
          <w:tab w:val="left" w:pos="1009"/>
        </w:tabs>
        <w:spacing w:before="120" w:after="120"/>
      </w:pPr>
      <w:r w:rsidRPr="00026566">
        <w:t>SCF Guides are written for suitably qualified and experienced safety case practitioners</w:t>
      </w:r>
      <w:r>
        <w:t>, t</w:t>
      </w:r>
      <w:r w:rsidRPr="00026566">
        <w:t>hus the basics of safety cases and safety assessment as they affect a particular S</w:t>
      </w:r>
      <w:r>
        <w:t xml:space="preserve">afety Case Forum </w:t>
      </w:r>
      <w:r w:rsidRPr="00026566">
        <w:t xml:space="preserve">Guide are not necessarily explained in </w:t>
      </w:r>
      <w:r>
        <w:t>the</w:t>
      </w:r>
      <w:r w:rsidRPr="00026566">
        <w:t xml:space="preserve"> Guides.</w:t>
      </w:r>
    </w:p>
    <w:p w14:paraId="0F551A13" w14:textId="77777777" w:rsidR="00F64686" w:rsidRDefault="00F64686" w:rsidP="00372E1A">
      <w:pPr>
        <w:tabs>
          <w:tab w:val="left" w:pos="1008"/>
          <w:tab w:val="left" w:pos="1009"/>
        </w:tabs>
        <w:spacing w:before="120" w:after="120"/>
      </w:pPr>
      <w:r>
        <w:t>A</w:t>
      </w:r>
      <w:r w:rsidRPr="00026566">
        <w:t xml:space="preserve">uthors are expected to use their judgement in applying </w:t>
      </w:r>
      <w:r>
        <w:t xml:space="preserve">these </w:t>
      </w:r>
      <w:r w:rsidRPr="00026566">
        <w:t>Guides, taking account of company-specific, site-specific, building-specific and scenario-specific factors.</w:t>
      </w:r>
    </w:p>
    <w:p w14:paraId="4ED5F649" w14:textId="77777777" w:rsidR="00F64686" w:rsidRDefault="00F64686" w:rsidP="00372E1A">
      <w:pPr>
        <w:tabs>
          <w:tab w:val="left" w:pos="1008"/>
          <w:tab w:val="left" w:pos="1009"/>
        </w:tabs>
        <w:spacing w:before="120" w:after="120"/>
      </w:pPr>
    </w:p>
    <w:p w14:paraId="01562EE2" w14:textId="04D91010" w:rsidR="00372E1A" w:rsidRPr="00372E1A" w:rsidRDefault="00826413" w:rsidP="00826413">
      <w:pPr>
        <w:pStyle w:val="Heading1"/>
        <w:numPr>
          <w:ilvl w:val="0"/>
          <w:numId w:val="0"/>
        </w:numPr>
      </w:pPr>
      <w:bookmarkStart w:id="3" w:name="_Toc50110437"/>
      <w:r>
        <w:t>Executive Summary</w:t>
      </w:r>
      <w:bookmarkEnd w:id="3"/>
    </w:p>
    <w:p w14:paraId="625137D7" w14:textId="77777777" w:rsidR="00372E1A" w:rsidRPr="00372E1A" w:rsidRDefault="00372E1A" w:rsidP="00372E1A">
      <w:pPr>
        <w:tabs>
          <w:tab w:val="left" w:pos="1008"/>
          <w:tab w:val="left" w:pos="1009"/>
        </w:tabs>
        <w:spacing w:before="120" w:after="120"/>
      </w:pPr>
      <w:r w:rsidRPr="00372E1A">
        <w:t>Conservatism is ‘being on the safe side’, for example, estimating a potential radiation dose in an accident scenario to be higher than the best estimate of the dose.  Conservatism is required for a safety case methodology called Design Basis Analysis (DBA).  However, over-conservatism is relatively common.</w:t>
      </w:r>
    </w:p>
    <w:p w14:paraId="60D82598" w14:textId="77777777" w:rsidR="00372E1A" w:rsidRDefault="00372E1A" w:rsidP="00372E1A">
      <w:pPr>
        <w:tabs>
          <w:tab w:val="left" w:pos="1008"/>
          <w:tab w:val="left" w:pos="1009"/>
        </w:tabs>
        <w:spacing w:before="120" w:after="120"/>
      </w:pPr>
      <w:r>
        <w:t>The symptoms of an overly-conservative safety case include:</w:t>
      </w:r>
    </w:p>
    <w:p w14:paraId="5F273280" w14:textId="77777777" w:rsidR="00372E1A" w:rsidRDefault="00372E1A" w:rsidP="005F132A">
      <w:pPr>
        <w:pStyle w:val="ListParagraph"/>
        <w:numPr>
          <w:ilvl w:val="0"/>
          <w:numId w:val="2"/>
        </w:numPr>
        <w:tabs>
          <w:tab w:val="left" w:pos="567"/>
        </w:tabs>
        <w:spacing w:line="268" w:lineRule="exact"/>
        <w:ind w:left="567" w:hanging="567"/>
      </w:pPr>
      <w:r>
        <w:t>The safety case is larger and more complex than expected, with excessive production</w:t>
      </w:r>
      <w:r>
        <w:rPr>
          <w:spacing w:val="-24"/>
        </w:rPr>
        <w:t xml:space="preserve"> </w:t>
      </w:r>
      <w:r>
        <w:t>costs</w:t>
      </w:r>
      <w:r w:rsidR="005F132A">
        <w:t>;</w:t>
      </w:r>
    </w:p>
    <w:p w14:paraId="7DC9431F" w14:textId="77777777" w:rsidR="00372E1A" w:rsidRDefault="00372E1A" w:rsidP="005F132A">
      <w:pPr>
        <w:pStyle w:val="ListParagraph"/>
        <w:numPr>
          <w:ilvl w:val="0"/>
          <w:numId w:val="2"/>
        </w:numPr>
        <w:tabs>
          <w:tab w:val="left" w:pos="567"/>
        </w:tabs>
        <w:ind w:left="567" w:right="414" w:hanging="567"/>
      </w:pPr>
      <w:r>
        <w:t>Many shortfalls are identified, while a similar (or higher hazard) facility elsewhere that has gone through a valid safety case process has very few or no</w:t>
      </w:r>
      <w:r>
        <w:rPr>
          <w:spacing w:val="-15"/>
        </w:rPr>
        <w:t xml:space="preserve"> </w:t>
      </w:r>
      <w:r>
        <w:t>shortfalls</w:t>
      </w:r>
      <w:r w:rsidR="005F132A">
        <w:t>;</w:t>
      </w:r>
    </w:p>
    <w:p w14:paraId="2D20E84F" w14:textId="77777777" w:rsidR="00372E1A" w:rsidRDefault="00372E1A" w:rsidP="005F132A">
      <w:pPr>
        <w:pStyle w:val="ListParagraph"/>
        <w:numPr>
          <w:ilvl w:val="0"/>
          <w:numId w:val="2"/>
        </w:numPr>
        <w:tabs>
          <w:tab w:val="left" w:pos="567"/>
        </w:tabs>
        <w:ind w:left="567" w:right="1273" w:hanging="567"/>
      </w:pPr>
      <w:r>
        <w:t>The requirement for safety measures (both engineered and operational) is very high in comparison to a similar (or higher hazard) facility</w:t>
      </w:r>
      <w:r>
        <w:rPr>
          <w:spacing w:val="-8"/>
        </w:rPr>
        <w:t xml:space="preserve"> </w:t>
      </w:r>
      <w:r>
        <w:t>elsewhere</w:t>
      </w:r>
      <w:r w:rsidR="005F132A">
        <w:t>;</w:t>
      </w:r>
    </w:p>
    <w:p w14:paraId="627CF5D7" w14:textId="77777777" w:rsidR="00372E1A" w:rsidRDefault="00372E1A" w:rsidP="005F132A">
      <w:pPr>
        <w:pStyle w:val="ListParagraph"/>
        <w:numPr>
          <w:ilvl w:val="0"/>
          <w:numId w:val="2"/>
        </w:numPr>
        <w:tabs>
          <w:tab w:val="left" w:pos="567"/>
        </w:tabs>
        <w:spacing w:line="268" w:lineRule="exact"/>
        <w:ind w:left="567" w:hanging="567"/>
      </w:pPr>
      <w:r>
        <w:t xml:space="preserve">The safety case owner and other stakeholders find the safety case to be </w:t>
      </w:r>
      <w:r w:rsidR="005F132A">
        <w:t>‘</w:t>
      </w:r>
      <w:r>
        <w:t>not</w:t>
      </w:r>
      <w:r>
        <w:rPr>
          <w:spacing w:val="-18"/>
        </w:rPr>
        <w:t xml:space="preserve"> </w:t>
      </w:r>
      <w:r>
        <w:t>credible</w:t>
      </w:r>
      <w:r w:rsidR="005F132A">
        <w:t>’</w:t>
      </w:r>
      <w:r>
        <w:t>.</w:t>
      </w:r>
    </w:p>
    <w:p w14:paraId="6EF01C75" w14:textId="77777777" w:rsidR="005F132A" w:rsidRDefault="005F132A" w:rsidP="005F132A">
      <w:pPr>
        <w:pStyle w:val="ListParagraph"/>
        <w:tabs>
          <w:tab w:val="left" w:pos="567"/>
        </w:tabs>
        <w:spacing w:line="268" w:lineRule="exact"/>
        <w:ind w:left="567" w:firstLine="0"/>
      </w:pPr>
    </w:p>
    <w:p w14:paraId="0C80AF2A" w14:textId="77777777" w:rsidR="00372E1A" w:rsidRDefault="00372E1A" w:rsidP="005F132A">
      <w:pPr>
        <w:tabs>
          <w:tab w:val="left" w:pos="1008"/>
          <w:tab w:val="left" w:pos="1009"/>
        </w:tabs>
        <w:spacing w:before="120" w:after="120"/>
      </w:pPr>
      <w:r>
        <w:t>Perhaps surprisingly, over-conservatism, as well as under-conservatism, can be the enemy of safety.</w:t>
      </w:r>
    </w:p>
    <w:p w14:paraId="3FCC9F12" w14:textId="77777777" w:rsidR="00372E1A" w:rsidRDefault="00372E1A" w:rsidP="005F132A">
      <w:pPr>
        <w:tabs>
          <w:tab w:val="left" w:pos="1008"/>
          <w:tab w:val="left" w:pos="1009"/>
        </w:tabs>
        <w:spacing w:before="120" w:after="120"/>
      </w:pPr>
      <w:r>
        <w:t xml:space="preserve">Overall conservatism is what is required for Design Basis Analysis; </w:t>
      </w:r>
      <w:r w:rsidR="005F132A">
        <w:t xml:space="preserve">however, </w:t>
      </w:r>
      <w:r>
        <w:t xml:space="preserve">it is not necessary for every element in the analysis to be demonstrably conservative. </w:t>
      </w:r>
      <w:r w:rsidR="005F132A">
        <w:t xml:space="preserve"> </w:t>
      </w:r>
      <w:r>
        <w:t xml:space="preserve">Combining conservative values of multiple input values (e.g. inventory) can easily lead to a ridiculously unrealistic output value (e.g. dose) </w:t>
      </w:r>
      <w:r w:rsidRPr="005F132A">
        <w:t>without the knowledge of the analyst</w:t>
      </w:r>
      <w:r>
        <w:t>.</w:t>
      </w:r>
    </w:p>
    <w:p w14:paraId="27FF53F3" w14:textId="77777777" w:rsidR="00372E1A" w:rsidRDefault="00372E1A" w:rsidP="005F132A">
      <w:pPr>
        <w:tabs>
          <w:tab w:val="left" w:pos="1008"/>
          <w:tab w:val="left" w:pos="1009"/>
        </w:tabs>
        <w:spacing w:before="120" w:after="120"/>
      </w:pPr>
      <w:r>
        <w:t>Techniques for removing or managing under/over-conservatism that are significant throughout this SCF Guide include:</w:t>
      </w:r>
    </w:p>
    <w:p w14:paraId="09446606" w14:textId="77777777" w:rsidR="00372E1A" w:rsidRDefault="005F132A" w:rsidP="005F132A">
      <w:pPr>
        <w:pStyle w:val="ListParagraph"/>
        <w:numPr>
          <w:ilvl w:val="0"/>
          <w:numId w:val="2"/>
        </w:numPr>
        <w:tabs>
          <w:tab w:val="left" w:pos="567"/>
        </w:tabs>
        <w:ind w:left="567" w:right="414" w:hanging="567"/>
      </w:pPr>
      <w:r>
        <w:t>E</w:t>
      </w:r>
      <w:r w:rsidR="00372E1A">
        <w:t>xplicit identification of optimisms and conservatisms within safety case</w:t>
      </w:r>
      <w:r w:rsidR="00372E1A" w:rsidRPr="005F132A">
        <w:t xml:space="preserve"> </w:t>
      </w:r>
      <w:r w:rsidR="00372E1A">
        <w:t>documents;</w:t>
      </w:r>
    </w:p>
    <w:p w14:paraId="200AB85E" w14:textId="77777777" w:rsidR="00372E1A" w:rsidRDefault="005F132A" w:rsidP="005F132A">
      <w:pPr>
        <w:pStyle w:val="ListParagraph"/>
        <w:numPr>
          <w:ilvl w:val="0"/>
          <w:numId w:val="2"/>
        </w:numPr>
        <w:tabs>
          <w:tab w:val="left" w:pos="567"/>
        </w:tabs>
        <w:ind w:left="567" w:right="414" w:hanging="567"/>
      </w:pPr>
      <w:r>
        <w:t>A</w:t>
      </w:r>
      <w:r w:rsidR="00372E1A">
        <w:t>uthor self-checking of documents for under-conservatisms or</w:t>
      </w:r>
      <w:r w:rsidR="00372E1A" w:rsidRPr="005F132A">
        <w:t xml:space="preserve"> </w:t>
      </w:r>
      <w:r w:rsidR="00372E1A">
        <w:t>over-conservatisms;</w:t>
      </w:r>
    </w:p>
    <w:p w14:paraId="564FACDD" w14:textId="77777777" w:rsidR="00372E1A" w:rsidRDefault="005F132A" w:rsidP="005F132A">
      <w:pPr>
        <w:pStyle w:val="ListParagraph"/>
        <w:numPr>
          <w:ilvl w:val="0"/>
          <w:numId w:val="2"/>
        </w:numPr>
        <w:tabs>
          <w:tab w:val="left" w:pos="567"/>
        </w:tabs>
        <w:ind w:left="567" w:right="414" w:hanging="567"/>
      </w:pPr>
      <w:r>
        <w:t>G</w:t>
      </w:r>
      <w:r w:rsidR="00372E1A">
        <w:t>ood communication, and avoiding ‘silo working’, in particular it is important to seek the</w:t>
      </w:r>
      <w:r w:rsidR="00372E1A" w:rsidRPr="005F132A">
        <w:t xml:space="preserve"> </w:t>
      </w:r>
      <w:r w:rsidR="00372E1A">
        <w:t>views of facility operators during fault identification and fault</w:t>
      </w:r>
      <w:r w:rsidR="00372E1A" w:rsidRPr="005F132A">
        <w:t xml:space="preserve"> </w:t>
      </w:r>
      <w:r w:rsidR="00372E1A">
        <w:t>development;</w:t>
      </w:r>
    </w:p>
    <w:p w14:paraId="49A77566" w14:textId="77777777" w:rsidR="00372E1A" w:rsidRDefault="005F132A" w:rsidP="005F132A">
      <w:pPr>
        <w:pStyle w:val="ListParagraph"/>
        <w:numPr>
          <w:ilvl w:val="0"/>
          <w:numId w:val="2"/>
        </w:numPr>
        <w:tabs>
          <w:tab w:val="left" w:pos="567"/>
        </w:tabs>
        <w:ind w:left="567" w:right="414" w:hanging="567"/>
      </w:pPr>
      <w:r>
        <w:t>A</w:t>
      </w:r>
      <w:r w:rsidR="00372E1A">
        <w:t>wareness of the multiplicative effect of</w:t>
      </w:r>
      <w:r w:rsidR="00372E1A" w:rsidRPr="005F132A">
        <w:t xml:space="preserve"> </w:t>
      </w:r>
      <w:r w:rsidR="00372E1A">
        <w:t>over-conservatisms;</w:t>
      </w:r>
    </w:p>
    <w:p w14:paraId="384F9F19" w14:textId="77777777" w:rsidR="00372E1A" w:rsidRDefault="005F132A" w:rsidP="005F132A">
      <w:pPr>
        <w:pStyle w:val="ListParagraph"/>
        <w:numPr>
          <w:ilvl w:val="0"/>
          <w:numId w:val="2"/>
        </w:numPr>
        <w:tabs>
          <w:tab w:val="left" w:pos="567"/>
        </w:tabs>
        <w:ind w:left="567" w:right="414" w:hanging="567"/>
      </w:pPr>
      <w:r>
        <w:t>U</w:t>
      </w:r>
      <w:r w:rsidR="00372E1A">
        <w:t>se of sensitivity</w:t>
      </w:r>
      <w:r w:rsidR="00372E1A" w:rsidRPr="005F132A">
        <w:t xml:space="preserve"> </w:t>
      </w:r>
      <w:r w:rsidR="00372E1A">
        <w:t>analysis;</w:t>
      </w:r>
    </w:p>
    <w:p w14:paraId="61976223" w14:textId="77777777" w:rsidR="00372E1A" w:rsidRDefault="005F132A" w:rsidP="005F132A">
      <w:pPr>
        <w:pStyle w:val="ListParagraph"/>
        <w:numPr>
          <w:ilvl w:val="0"/>
          <w:numId w:val="2"/>
        </w:numPr>
        <w:tabs>
          <w:tab w:val="left" w:pos="567"/>
        </w:tabs>
        <w:ind w:left="567" w:right="414" w:hanging="567"/>
      </w:pPr>
      <w:r>
        <w:t>A</w:t>
      </w:r>
      <w:r w:rsidR="00372E1A">
        <w:t>ppropriate use of expert judgement;</w:t>
      </w:r>
      <w:r w:rsidR="00372E1A" w:rsidRPr="005F132A">
        <w:t xml:space="preserve"> </w:t>
      </w:r>
      <w:r w:rsidR="00372E1A">
        <w:t>and</w:t>
      </w:r>
      <w:r>
        <w:t>,</w:t>
      </w:r>
    </w:p>
    <w:p w14:paraId="079CD3AD" w14:textId="77777777" w:rsidR="00372E1A" w:rsidRDefault="005F132A" w:rsidP="005F132A">
      <w:pPr>
        <w:pStyle w:val="ListParagraph"/>
        <w:numPr>
          <w:ilvl w:val="0"/>
          <w:numId w:val="2"/>
        </w:numPr>
        <w:tabs>
          <w:tab w:val="left" w:pos="567"/>
        </w:tabs>
        <w:ind w:left="567" w:right="414" w:hanging="567"/>
      </w:pPr>
      <w:r>
        <w:t>A</w:t>
      </w:r>
      <w:r w:rsidR="00372E1A">
        <w:t>ppropriate challenge of assumptions and conclusions (asking ‘Does it look right?’) within a team-working</w:t>
      </w:r>
      <w:r w:rsidR="00372E1A" w:rsidRPr="005F132A">
        <w:t xml:space="preserve"> </w:t>
      </w:r>
      <w:r w:rsidR="00372E1A">
        <w:t>environment.</w:t>
      </w:r>
    </w:p>
    <w:p w14:paraId="26714A19" w14:textId="77777777" w:rsidR="00F64686" w:rsidRPr="00DA15AC" w:rsidRDefault="00F64686" w:rsidP="00F64686"/>
    <w:p w14:paraId="6334680A" w14:textId="77777777" w:rsidR="00F64686" w:rsidRDefault="00F64686" w:rsidP="00F64686">
      <w:r>
        <w:br w:type="page"/>
      </w:r>
    </w:p>
    <w:p w14:paraId="6C8821FE" w14:textId="77777777" w:rsidR="00F64686" w:rsidRPr="00347618" w:rsidRDefault="00F64686" w:rsidP="00E71ECE">
      <w:pPr>
        <w:pStyle w:val="Heading2"/>
      </w:pPr>
      <w:bookmarkStart w:id="4" w:name="_Toc13132622"/>
      <w:bookmarkStart w:id="5" w:name="_Toc50110438"/>
      <w:r w:rsidRPr="00347618">
        <w:lastRenderedPageBreak/>
        <w:t>Safety Directors’ Forum</w:t>
      </w:r>
      <w:bookmarkEnd w:id="4"/>
      <w:bookmarkEnd w:id="5"/>
    </w:p>
    <w:p w14:paraId="3D8D0FB9" w14:textId="77777777" w:rsidR="00F64686" w:rsidRPr="00D646A9" w:rsidRDefault="00F64686" w:rsidP="00F64686">
      <w:pPr>
        <w:spacing w:before="120" w:after="120"/>
      </w:pPr>
      <w:r w:rsidRPr="00D646A9">
        <w:t>In a sector where safety, security and the protection of the environment is, and must always be the number one priority, the SDF plays a crucial role in bringing together senior level nuclear executives to:</w:t>
      </w:r>
    </w:p>
    <w:p w14:paraId="67A10F2F" w14:textId="77777777" w:rsidR="00F64686" w:rsidRPr="00D646A9" w:rsidRDefault="00F64686" w:rsidP="00F64686">
      <w:pPr>
        <w:widowControl/>
        <w:numPr>
          <w:ilvl w:val="0"/>
          <w:numId w:val="4"/>
        </w:numPr>
        <w:autoSpaceDE/>
        <w:autoSpaceDN/>
        <w:ind w:left="567" w:hanging="567"/>
      </w:pPr>
      <w:r w:rsidRPr="00D646A9">
        <w:t>Promote learning;</w:t>
      </w:r>
    </w:p>
    <w:p w14:paraId="28D07C41" w14:textId="77777777" w:rsidR="00F64686" w:rsidRPr="00D646A9" w:rsidRDefault="00F64686" w:rsidP="00F64686">
      <w:pPr>
        <w:widowControl/>
        <w:numPr>
          <w:ilvl w:val="0"/>
          <w:numId w:val="4"/>
        </w:numPr>
        <w:autoSpaceDE/>
        <w:autoSpaceDN/>
        <w:ind w:left="567" w:hanging="567"/>
      </w:pPr>
      <w:r w:rsidRPr="00D646A9">
        <w:t>Agree strategy on key issues facing the industry;</w:t>
      </w:r>
    </w:p>
    <w:p w14:paraId="613B9EF4" w14:textId="77777777" w:rsidR="00F64686" w:rsidRPr="00D646A9" w:rsidRDefault="00F64686" w:rsidP="00F64686">
      <w:pPr>
        <w:widowControl/>
        <w:numPr>
          <w:ilvl w:val="0"/>
          <w:numId w:val="4"/>
        </w:numPr>
        <w:autoSpaceDE/>
        <w:autoSpaceDN/>
        <w:ind w:left="567" w:hanging="567"/>
      </w:pPr>
      <w:r w:rsidRPr="00D646A9">
        <w:t>Provide a network within the industry (including with Government and regulators) and external to the industry;</w:t>
      </w:r>
    </w:p>
    <w:p w14:paraId="474DF292" w14:textId="77777777" w:rsidR="00F64686" w:rsidRPr="00D646A9" w:rsidRDefault="00F64686" w:rsidP="00F64686">
      <w:pPr>
        <w:widowControl/>
        <w:numPr>
          <w:ilvl w:val="0"/>
          <w:numId w:val="4"/>
        </w:numPr>
        <w:autoSpaceDE/>
        <w:autoSpaceDN/>
        <w:ind w:left="567" w:hanging="567"/>
      </w:pPr>
      <w:r w:rsidRPr="00D646A9">
        <w:t>Provide an industry input to new developments in the industry; and,</w:t>
      </w:r>
    </w:p>
    <w:p w14:paraId="145FB584" w14:textId="77777777" w:rsidR="00F64686" w:rsidRPr="00D646A9" w:rsidRDefault="00F64686" w:rsidP="00F64686">
      <w:pPr>
        <w:widowControl/>
        <w:numPr>
          <w:ilvl w:val="0"/>
          <w:numId w:val="4"/>
        </w:numPr>
        <w:autoSpaceDE/>
        <w:autoSpaceDN/>
        <w:ind w:left="567" w:hanging="567"/>
      </w:pPr>
      <w:r w:rsidRPr="00D646A9">
        <w:t>To ensure that the industry stays on its path of continuous improvement.</w:t>
      </w:r>
    </w:p>
    <w:p w14:paraId="36C340B3" w14:textId="77777777" w:rsidR="00F64686" w:rsidRPr="00D646A9" w:rsidRDefault="00F64686" w:rsidP="00F64686"/>
    <w:p w14:paraId="7B95F242" w14:textId="77777777" w:rsidR="00F64686" w:rsidRPr="00D646A9" w:rsidRDefault="00F64686" w:rsidP="00F64686">
      <w:pPr>
        <w:spacing w:before="120" w:after="120"/>
      </w:pPr>
      <w:bookmarkStart w:id="6" w:name="_Hlk11836729"/>
      <w:r w:rsidRPr="00D646A9">
        <w:t xml:space="preserve">It also looks to identify key strategic challenges facing the industry in the fields of environment, health, safety, quality safeguards and security (EHSQS&amp;S) and resolve them, often through working with the UK regulators and Government, both of whom the SDF meets twice yearly.  The SDF members represent every part of the fuel cycle from fuel manufacture, through generation to reprocessing and waste treatment, including research, design, new build, decommissioning, care and maintenance and waste disposal. The Forum also has members who represent the Ministry of </w:t>
      </w:r>
      <w:proofErr w:type="spellStart"/>
      <w:r w:rsidRPr="00D646A9">
        <w:t>Defence</w:t>
      </w:r>
      <w:proofErr w:type="spellEnd"/>
      <w:r w:rsidRPr="00D646A9">
        <w:t xml:space="preserve"> (MoD) nuclear operations, as well as “smaller licensees” such as universities and pharmaceutical companies.  With over 25 members from every site </w:t>
      </w:r>
      <w:proofErr w:type="spellStart"/>
      <w:r w:rsidRPr="00D646A9">
        <w:t>licence</w:t>
      </w:r>
      <w:proofErr w:type="spellEnd"/>
      <w:r w:rsidRPr="00D646A9">
        <w:t xml:space="preserve"> company in the UK, every MoD </w:t>
      </w:r>
      <w:proofErr w:type="spellStart"/>
      <w:r w:rsidRPr="00D646A9">
        <w:t>authorised</w:t>
      </w:r>
      <w:proofErr w:type="spellEnd"/>
      <w:r w:rsidRPr="00D646A9">
        <w:t xml:space="preserve"> site, and </w:t>
      </w:r>
      <w:proofErr w:type="spellStart"/>
      <w:r w:rsidRPr="00D646A9">
        <w:t>organisations</w:t>
      </w:r>
      <w:proofErr w:type="spellEnd"/>
      <w:r w:rsidRPr="00D646A9">
        <w:t xml:space="preserve"> which are planning to become site licensees, the SDF represents a vast pool of knowledge and experience which has made it a key consultee for Government and regulators on new legislation and regulation.</w:t>
      </w:r>
    </w:p>
    <w:p w14:paraId="427BC902" w14:textId="5A435ACE" w:rsidR="00F64686" w:rsidRPr="00D646A9" w:rsidRDefault="00F64686" w:rsidP="00F64686">
      <w:pPr>
        <w:spacing w:before="120" w:after="120"/>
      </w:pPr>
      <w:r w:rsidRPr="00D646A9">
        <w:t>The Forum has a strong focus on improvement across the industry.  It has in place a number of subject-specific sub-groups looking in detail at issues such as radiological protection, human performance, learning from experience and the implementation of the new regulatory framework for security.</w:t>
      </w:r>
      <w:r w:rsidR="00826413">
        <w:t xml:space="preserve"> </w:t>
      </w:r>
      <w:r w:rsidRPr="00D646A9">
        <w:t xml:space="preserve"> Such sub-groups have developed a number of Good Practice Guides which have been adopted by the industry.</w:t>
      </w:r>
    </w:p>
    <w:p w14:paraId="21DB3575" w14:textId="77777777" w:rsidR="00F64686" w:rsidRPr="00347618" w:rsidRDefault="00F64686" w:rsidP="00E71ECE">
      <w:pPr>
        <w:pStyle w:val="Heading2"/>
      </w:pPr>
      <w:bookmarkStart w:id="7" w:name="_Toc408910514"/>
      <w:bookmarkStart w:id="8" w:name="_Toc425231648"/>
      <w:bookmarkStart w:id="9" w:name="_Toc11848035"/>
      <w:bookmarkStart w:id="10" w:name="_Toc13132623"/>
      <w:bookmarkStart w:id="11" w:name="_Toc50110439"/>
      <w:bookmarkEnd w:id="6"/>
      <w:r w:rsidRPr="00347618">
        <w:t>S</w:t>
      </w:r>
      <w:bookmarkEnd w:id="7"/>
      <w:r w:rsidRPr="00347618">
        <w:t>afety Case Forum</w:t>
      </w:r>
      <w:bookmarkEnd w:id="8"/>
      <w:bookmarkEnd w:id="9"/>
      <w:bookmarkEnd w:id="10"/>
      <w:bookmarkEnd w:id="11"/>
    </w:p>
    <w:p w14:paraId="719E9A46" w14:textId="4915AF08" w:rsidR="00F64686" w:rsidRPr="00D646A9" w:rsidRDefault="00F64686" w:rsidP="00F64686">
      <w:pPr>
        <w:spacing w:before="120" w:after="120"/>
      </w:pPr>
      <w:bookmarkStart w:id="12" w:name="_Hlk11837554"/>
      <w:r w:rsidRPr="00D646A9">
        <w:t>This Guide has been produced by the Safety Case Forum, which is in turn a sub-group of the SDF.</w:t>
      </w:r>
    </w:p>
    <w:p w14:paraId="6C916849" w14:textId="77777777" w:rsidR="00F64686" w:rsidRPr="00D646A9" w:rsidRDefault="00F64686" w:rsidP="00F64686">
      <w:pPr>
        <w:spacing w:before="120" w:after="120"/>
      </w:pPr>
      <w:r w:rsidRPr="00D646A9">
        <w:t>The Safety Case Forum was established in June 2012 and brings together a wide range of representatives of nuclear operators, from all the Licensees and Authorisees across the UK, including:</w:t>
      </w:r>
    </w:p>
    <w:p w14:paraId="215AB846" w14:textId="77777777" w:rsidR="00F64686" w:rsidRPr="00D646A9" w:rsidRDefault="00F64686" w:rsidP="00F64686">
      <w:pPr>
        <w:widowControl/>
        <w:numPr>
          <w:ilvl w:val="0"/>
          <w:numId w:val="3"/>
        </w:numPr>
        <w:tabs>
          <w:tab w:val="clear" w:pos="720"/>
          <w:tab w:val="num" w:pos="567"/>
        </w:tabs>
        <w:autoSpaceDE/>
        <w:autoSpaceDN/>
        <w:ind w:left="567" w:hanging="567"/>
      </w:pPr>
      <w:r w:rsidRPr="00D646A9">
        <w:t xml:space="preserve">Civil, commercial and </w:t>
      </w:r>
      <w:proofErr w:type="spellStart"/>
      <w:r w:rsidRPr="00D646A9">
        <w:t>defence</w:t>
      </w:r>
      <w:proofErr w:type="spellEnd"/>
      <w:r w:rsidRPr="00D646A9">
        <w:t xml:space="preserve"> activities;</w:t>
      </w:r>
    </w:p>
    <w:p w14:paraId="305C23BB" w14:textId="77777777" w:rsidR="00F64686" w:rsidRPr="00D646A9" w:rsidRDefault="00F64686" w:rsidP="00F64686">
      <w:pPr>
        <w:widowControl/>
        <w:numPr>
          <w:ilvl w:val="0"/>
          <w:numId w:val="3"/>
        </w:numPr>
        <w:tabs>
          <w:tab w:val="clear" w:pos="720"/>
          <w:tab w:val="num" w:pos="567"/>
        </w:tabs>
        <w:autoSpaceDE/>
        <w:autoSpaceDN/>
        <w:ind w:left="567" w:hanging="567"/>
      </w:pPr>
      <w:r w:rsidRPr="00D646A9">
        <w:t>Design, operation and decommissioning of nuclear facilities;</w:t>
      </w:r>
    </w:p>
    <w:p w14:paraId="59D38FA7" w14:textId="77777777" w:rsidR="00F64686" w:rsidRPr="00D646A9" w:rsidRDefault="00F64686" w:rsidP="00F64686">
      <w:pPr>
        <w:widowControl/>
        <w:numPr>
          <w:ilvl w:val="0"/>
          <w:numId w:val="3"/>
        </w:numPr>
        <w:tabs>
          <w:tab w:val="clear" w:pos="720"/>
          <w:tab w:val="num" w:pos="567"/>
        </w:tabs>
        <w:autoSpaceDE/>
        <w:autoSpaceDN/>
        <w:ind w:left="567" w:hanging="567"/>
      </w:pPr>
      <w:r w:rsidRPr="00D646A9">
        <w:t>Research facilities.</w:t>
      </w:r>
    </w:p>
    <w:p w14:paraId="243AE7E4" w14:textId="77777777" w:rsidR="00F64686" w:rsidRPr="00D646A9" w:rsidRDefault="00F64686" w:rsidP="00F64686"/>
    <w:p w14:paraId="02DED0BA" w14:textId="77777777" w:rsidR="00F64686" w:rsidRPr="00D646A9" w:rsidRDefault="00F64686" w:rsidP="00F64686">
      <w:pPr>
        <w:spacing w:before="120" w:after="120"/>
      </w:pPr>
      <w:r w:rsidRPr="00D646A9">
        <w:t>The purpose of the Safety Case Forum is to provide guidance that is useful to, and will benefit the widest possible range of UK nuclear operators.</w:t>
      </w:r>
    </w:p>
    <w:p w14:paraId="38FA1A35" w14:textId="77777777" w:rsidR="00F64686" w:rsidRPr="00D646A9" w:rsidRDefault="00F64686" w:rsidP="00F64686">
      <w:pPr>
        <w:spacing w:before="120" w:after="120"/>
      </w:pPr>
      <w:r w:rsidRPr="00D646A9">
        <w:t>Such guidance is not mandatory, nor does it seek to identify minimum standards.  It aims to provide a tool kit of methods and processes that nuclear operators can use if appropriate to their sites and facilities.</w:t>
      </w:r>
    </w:p>
    <w:bookmarkEnd w:id="12"/>
    <w:p w14:paraId="6DCC244B" w14:textId="77777777" w:rsidR="00F64686" w:rsidRDefault="00F64686" w:rsidP="00F64686">
      <w:pPr>
        <w:spacing w:before="120" w:after="120"/>
      </w:pPr>
      <w:r w:rsidRPr="00D646A9">
        <w:t xml:space="preserve">These guides are intended to improve the </w:t>
      </w:r>
      <w:proofErr w:type="spellStart"/>
      <w:r w:rsidRPr="00D646A9">
        <w:t>standardisation</w:t>
      </w:r>
      <w:proofErr w:type="spellEnd"/>
      <w:r w:rsidRPr="00D646A9">
        <w:t xml:space="preserve"> of approach to the delivery of fit-for-purpose safety cases, while improving quality and reducing the cost of production.  They are designed to cater for all stages of a facility’s life cycle and for all processes within that life cycle.</w:t>
      </w:r>
    </w:p>
    <w:p w14:paraId="4B993533" w14:textId="77777777" w:rsidR="00F64686" w:rsidRDefault="00F64686">
      <w:r>
        <w:br w:type="page"/>
      </w:r>
    </w:p>
    <w:p w14:paraId="4F9ACB5B" w14:textId="77777777" w:rsidR="00F64686" w:rsidRPr="00D646A9" w:rsidRDefault="00F64686" w:rsidP="00F64686">
      <w:pPr>
        <w:spacing w:before="120" w:after="120"/>
      </w:pPr>
      <w:r w:rsidRPr="00D646A9">
        <w:lastRenderedPageBreak/>
        <w:t>This includes any interim, continuous and periodic safety reviews, allowing for the safe and efficient operation of nuclear facilities.</w:t>
      </w:r>
    </w:p>
    <w:p w14:paraId="00783622" w14:textId="77777777" w:rsidR="00F64686" w:rsidRPr="00D646A9" w:rsidRDefault="00F64686" w:rsidP="00F64686">
      <w:pPr>
        <w:spacing w:before="120" w:after="120"/>
      </w:pPr>
      <w:r w:rsidRPr="00D646A9">
        <w:t xml:space="preserve">When using the information contained within these guides, the role of the Intelligent Customer shall always remain with the individual nuclear operator, which shall retain responsibility for justifying the arguments in their respective Safety Cases.  The ONR and the </w:t>
      </w:r>
      <w:proofErr w:type="spellStart"/>
      <w:r w:rsidRPr="00D646A9">
        <w:t>Defence</w:t>
      </w:r>
      <w:proofErr w:type="spellEnd"/>
      <w:r w:rsidRPr="00D646A9">
        <w:t xml:space="preserve"> Nuclear Safety Regulator are consultative members of the Safety Case Forum.</w:t>
      </w:r>
    </w:p>
    <w:p w14:paraId="1EC16230" w14:textId="77777777" w:rsidR="00F64686" w:rsidRPr="00D646A9" w:rsidRDefault="00F64686" w:rsidP="00F64686">
      <w:pPr>
        <w:spacing w:before="120" w:after="120"/>
      </w:pPr>
      <w:r w:rsidRPr="00D646A9">
        <w:t xml:space="preserve">The following companies and </w:t>
      </w:r>
      <w:proofErr w:type="spellStart"/>
      <w:r w:rsidRPr="00D646A9">
        <w:t>organisations</w:t>
      </w:r>
      <w:proofErr w:type="spellEnd"/>
      <w:r w:rsidRPr="00D646A9">
        <w:t xml:space="preserve"> are participating members of the Safety Case Forum:</w:t>
      </w:r>
    </w:p>
    <w:p w14:paraId="7BE088E0" w14:textId="77777777" w:rsidR="00F64686" w:rsidRPr="00D646A9" w:rsidRDefault="00F64686" w:rsidP="00F64686">
      <w:bookmarkStart w:id="13" w:name="_Hlk30078761"/>
    </w:p>
    <w:p w14:paraId="6FF002FA" w14:textId="77777777" w:rsidR="00F64686" w:rsidRDefault="00F64686" w:rsidP="00F64686">
      <w:pPr>
        <w:ind w:firstLine="567"/>
      </w:pPr>
      <w:r>
        <w:rPr>
          <w:noProof/>
        </w:rPr>
        <w:drawing>
          <wp:inline distT="0" distB="0" distL="0" distR="0" wp14:anchorId="1AAD4724" wp14:editId="048EE967">
            <wp:extent cx="1116330" cy="890905"/>
            <wp:effectExtent l="0" t="0" r="7620" b="4445"/>
            <wp:docPr id="2" name="Picture 2" descr="MO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Log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330" cy="890905"/>
                    </a:xfrm>
                    <a:prstGeom prst="rect">
                      <a:avLst/>
                    </a:prstGeom>
                    <a:noFill/>
                    <a:ln>
                      <a:noFill/>
                    </a:ln>
                  </pic:spPr>
                </pic:pic>
              </a:graphicData>
            </a:graphic>
          </wp:inline>
        </w:drawing>
      </w:r>
      <w:r>
        <w:tab/>
      </w:r>
      <w:r>
        <w:rPr>
          <w:noProof/>
        </w:rPr>
        <w:drawing>
          <wp:inline distT="0" distB="0" distL="0" distR="0" wp14:anchorId="799CC62B" wp14:editId="0E6B50D7">
            <wp:extent cx="1437005" cy="854710"/>
            <wp:effectExtent l="0" t="0" r="0" b="2540"/>
            <wp:docPr id="122" name="Picture 122" descr="NDA -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A - logo-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7005" cy="854710"/>
                    </a:xfrm>
                    <a:prstGeom prst="rect">
                      <a:avLst/>
                    </a:prstGeom>
                    <a:noFill/>
                    <a:ln>
                      <a:noFill/>
                    </a:ln>
                  </pic:spPr>
                </pic:pic>
              </a:graphicData>
            </a:graphic>
          </wp:inline>
        </w:drawing>
      </w:r>
      <w:r>
        <w:t xml:space="preserve">      </w:t>
      </w:r>
      <w:r>
        <w:rPr>
          <w:noProof/>
        </w:rPr>
        <w:drawing>
          <wp:inline distT="0" distB="0" distL="0" distR="0" wp14:anchorId="46090D44" wp14:editId="644EB647">
            <wp:extent cx="1247140" cy="712470"/>
            <wp:effectExtent l="0" t="0" r="0" b="0"/>
            <wp:docPr id="4" name="Picture 4" descr="DE&amp;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mp;S-Logo-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140" cy="712470"/>
                    </a:xfrm>
                    <a:prstGeom prst="rect">
                      <a:avLst/>
                    </a:prstGeom>
                    <a:noFill/>
                    <a:ln>
                      <a:noFill/>
                    </a:ln>
                  </pic:spPr>
                </pic:pic>
              </a:graphicData>
            </a:graphic>
          </wp:inline>
        </w:drawing>
      </w:r>
      <w:r>
        <w:tab/>
        <w:t xml:space="preserve">  </w:t>
      </w:r>
      <w:r>
        <w:rPr>
          <w:noProof/>
        </w:rPr>
        <w:drawing>
          <wp:inline distT="0" distB="0" distL="0" distR="0" wp14:anchorId="3AB3B40F" wp14:editId="1B0F7D5E">
            <wp:extent cx="985520" cy="1021080"/>
            <wp:effectExtent l="0" t="0" r="5080" b="7620"/>
            <wp:docPr id="123" name="Picture 123" descr="CCFE-UKAEA-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E-UKAEA-Logo-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5520" cy="1021080"/>
                    </a:xfrm>
                    <a:prstGeom prst="rect">
                      <a:avLst/>
                    </a:prstGeom>
                    <a:noFill/>
                    <a:ln>
                      <a:noFill/>
                    </a:ln>
                  </pic:spPr>
                </pic:pic>
              </a:graphicData>
            </a:graphic>
          </wp:inline>
        </w:drawing>
      </w:r>
    </w:p>
    <w:p w14:paraId="65AF3451" w14:textId="77777777" w:rsidR="00F64686" w:rsidRDefault="00F64686" w:rsidP="00F64686"/>
    <w:p w14:paraId="0D76FF3D" w14:textId="77777777" w:rsidR="00F64686" w:rsidRDefault="00F64686" w:rsidP="00F64686">
      <w:pPr>
        <w:ind w:firstLine="567"/>
      </w:pPr>
      <w:r>
        <w:rPr>
          <w:noProof/>
        </w:rPr>
        <w:drawing>
          <wp:inline distT="0" distB="0" distL="0" distR="0" wp14:anchorId="3C49316D" wp14:editId="5EF9F7DD">
            <wp:extent cx="1258570" cy="320675"/>
            <wp:effectExtent l="0" t="0" r="0" b="3175"/>
            <wp:docPr id="6" name="Picture 6" descr="Urenco-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renco-Logo-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8570" cy="320675"/>
                    </a:xfrm>
                    <a:prstGeom prst="rect">
                      <a:avLst/>
                    </a:prstGeom>
                    <a:noFill/>
                    <a:ln>
                      <a:noFill/>
                    </a:ln>
                  </pic:spPr>
                </pic:pic>
              </a:graphicData>
            </a:graphic>
          </wp:inline>
        </w:drawing>
      </w:r>
      <w:r>
        <w:tab/>
      </w:r>
      <w:r>
        <w:tab/>
      </w:r>
      <w:r>
        <w:rPr>
          <w:noProof/>
        </w:rPr>
        <w:drawing>
          <wp:inline distT="0" distB="0" distL="0" distR="0" wp14:anchorId="36A6CE40" wp14:editId="3843357B">
            <wp:extent cx="1619250" cy="933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inline>
        </w:drawing>
      </w:r>
      <w:r>
        <w:tab/>
      </w:r>
      <w:r>
        <w:tab/>
      </w:r>
      <w:r>
        <w:rPr>
          <w:noProof/>
        </w:rPr>
        <w:drawing>
          <wp:inline distT="0" distB="0" distL="0" distR="0" wp14:anchorId="05678D6C" wp14:editId="70A924A0">
            <wp:extent cx="1341755" cy="344170"/>
            <wp:effectExtent l="0" t="0" r="0" b="0"/>
            <wp:docPr id="8" name="Picture 8" descr="Magnox-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ox-Log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1755" cy="344170"/>
                    </a:xfrm>
                    <a:prstGeom prst="rect">
                      <a:avLst/>
                    </a:prstGeom>
                    <a:noFill/>
                    <a:ln>
                      <a:noFill/>
                    </a:ln>
                  </pic:spPr>
                </pic:pic>
              </a:graphicData>
            </a:graphic>
          </wp:inline>
        </w:drawing>
      </w:r>
    </w:p>
    <w:p w14:paraId="292A8BA5" w14:textId="77777777" w:rsidR="00F64686" w:rsidRDefault="00F64686" w:rsidP="00F64686">
      <w:pPr>
        <w:ind w:firstLine="567"/>
      </w:pPr>
    </w:p>
    <w:p w14:paraId="603C1387" w14:textId="77777777" w:rsidR="00F64686" w:rsidRDefault="00F64686" w:rsidP="00F64686">
      <w:pPr>
        <w:ind w:firstLine="567"/>
      </w:pPr>
    </w:p>
    <w:p w14:paraId="7BC61308" w14:textId="77777777" w:rsidR="00F64686" w:rsidRDefault="00F64686" w:rsidP="00F64686">
      <w:pPr>
        <w:ind w:firstLine="567"/>
      </w:pPr>
      <w:r>
        <w:tab/>
      </w:r>
      <w:r>
        <w:rPr>
          <w:noProof/>
        </w:rPr>
        <w:drawing>
          <wp:inline distT="0" distB="0" distL="0" distR="0" wp14:anchorId="23EEF767" wp14:editId="2195E5D7">
            <wp:extent cx="1769110" cy="474980"/>
            <wp:effectExtent l="0" t="0" r="2540" b="1270"/>
            <wp:docPr id="125" name="Picture 125" descr="NNL- 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L- Logo-x"/>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110" cy="474980"/>
                    </a:xfrm>
                    <a:prstGeom prst="rect">
                      <a:avLst/>
                    </a:prstGeom>
                    <a:noFill/>
                    <a:ln>
                      <a:noFill/>
                    </a:ln>
                  </pic:spPr>
                </pic:pic>
              </a:graphicData>
            </a:graphic>
          </wp:inline>
        </w:drawing>
      </w:r>
      <w:r>
        <w:tab/>
      </w:r>
      <w:r>
        <w:tab/>
      </w:r>
      <w:r>
        <w:tab/>
      </w:r>
      <w:r>
        <w:rPr>
          <w:noProof/>
        </w:rPr>
        <w:drawing>
          <wp:inline distT="0" distB="0" distL="0" distR="0" wp14:anchorId="0E9F1E28" wp14:editId="0954AF17">
            <wp:extent cx="1674495" cy="415925"/>
            <wp:effectExtent l="0" t="0" r="1905" b="3175"/>
            <wp:docPr id="10" name="Picture 10" descr="Westinghous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inghouse-Log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4495" cy="415925"/>
                    </a:xfrm>
                    <a:prstGeom prst="rect">
                      <a:avLst/>
                    </a:prstGeom>
                    <a:noFill/>
                    <a:ln>
                      <a:noFill/>
                    </a:ln>
                  </pic:spPr>
                </pic:pic>
              </a:graphicData>
            </a:graphic>
          </wp:inline>
        </w:drawing>
      </w:r>
    </w:p>
    <w:p w14:paraId="78D516CF" w14:textId="77777777" w:rsidR="00F64686" w:rsidRDefault="00F64686" w:rsidP="00F64686"/>
    <w:p w14:paraId="21D8FB9C" w14:textId="77777777" w:rsidR="00F64686" w:rsidRDefault="00F64686" w:rsidP="00F64686">
      <w:pPr>
        <w:ind w:firstLine="567"/>
      </w:pPr>
      <w:r>
        <w:rPr>
          <w:noProof/>
        </w:rPr>
        <w:drawing>
          <wp:inline distT="0" distB="0" distL="0" distR="0" wp14:anchorId="10CDAE92" wp14:editId="3DAEC6C5">
            <wp:extent cx="1710055" cy="415925"/>
            <wp:effectExtent l="0" t="0" r="4445" b="3175"/>
            <wp:docPr id="126" name="Picture 126" descr="BAE-Systems-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E-Systems-Log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0055" cy="415925"/>
                    </a:xfrm>
                    <a:prstGeom prst="rect">
                      <a:avLst/>
                    </a:prstGeom>
                    <a:noFill/>
                    <a:ln>
                      <a:noFill/>
                    </a:ln>
                  </pic:spPr>
                </pic:pic>
              </a:graphicData>
            </a:graphic>
          </wp:inline>
        </w:drawing>
      </w:r>
      <w:r>
        <w:tab/>
        <w:t xml:space="preserve">      </w:t>
      </w:r>
      <w:r>
        <w:rPr>
          <w:noProof/>
        </w:rPr>
        <w:drawing>
          <wp:inline distT="0" distB="0" distL="0" distR="0" wp14:anchorId="750C4217" wp14:editId="725053FB">
            <wp:extent cx="1983105" cy="403860"/>
            <wp:effectExtent l="0" t="0" r="0" b="0"/>
            <wp:docPr id="12" name="Picture 12" descr="RWM-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WM-Logo-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3105" cy="403860"/>
                    </a:xfrm>
                    <a:prstGeom prst="rect">
                      <a:avLst/>
                    </a:prstGeom>
                    <a:noFill/>
                    <a:ln>
                      <a:noFill/>
                    </a:ln>
                  </pic:spPr>
                </pic:pic>
              </a:graphicData>
            </a:graphic>
          </wp:inline>
        </w:drawing>
      </w:r>
      <w:r>
        <w:tab/>
        <w:t xml:space="preserve">   </w:t>
      </w:r>
      <w:r>
        <w:rPr>
          <w:noProof/>
        </w:rPr>
        <w:drawing>
          <wp:inline distT="0" distB="0" distL="0" distR="0" wp14:anchorId="0EB2A61E" wp14:editId="769B8FF5">
            <wp:extent cx="1068705" cy="724535"/>
            <wp:effectExtent l="0" t="0" r="0" b="0"/>
            <wp:docPr id="127" name="Picture 127" descr="AW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WE-Log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8705" cy="724535"/>
                    </a:xfrm>
                    <a:prstGeom prst="rect">
                      <a:avLst/>
                    </a:prstGeom>
                    <a:noFill/>
                    <a:ln>
                      <a:noFill/>
                    </a:ln>
                  </pic:spPr>
                </pic:pic>
              </a:graphicData>
            </a:graphic>
          </wp:inline>
        </w:drawing>
      </w:r>
    </w:p>
    <w:p w14:paraId="1C39659E" w14:textId="77777777" w:rsidR="00F64686" w:rsidRDefault="00F64686" w:rsidP="00F64686">
      <w:pPr>
        <w:ind w:firstLine="567"/>
      </w:pPr>
    </w:p>
    <w:p w14:paraId="60FC1EFC" w14:textId="77777777" w:rsidR="00F64686" w:rsidRDefault="00F64686" w:rsidP="00F64686"/>
    <w:p w14:paraId="433D996A" w14:textId="77777777" w:rsidR="00F64686" w:rsidRDefault="00F64686" w:rsidP="00F64686"/>
    <w:p w14:paraId="2D33589E" w14:textId="77777777" w:rsidR="00F64686" w:rsidRDefault="00F64686" w:rsidP="00F64686">
      <w:r>
        <w:t xml:space="preserve">      </w:t>
      </w:r>
      <w:r>
        <w:rPr>
          <w:noProof/>
        </w:rPr>
        <w:drawing>
          <wp:inline distT="0" distB="0" distL="0" distR="0" wp14:anchorId="48EE99A6" wp14:editId="048941A9">
            <wp:extent cx="2054225" cy="332740"/>
            <wp:effectExtent l="0" t="0" r="3175" b="0"/>
            <wp:docPr id="14" name="Picture 14" descr="LLW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WR-Logo-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4225" cy="332740"/>
                    </a:xfrm>
                    <a:prstGeom prst="rect">
                      <a:avLst/>
                    </a:prstGeom>
                    <a:noFill/>
                    <a:ln>
                      <a:noFill/>
                    </a:ln>
                  </pic:spPr>
                </pic:pic>
              </a:graphicData>
            </a:graphic>
          </wp:inline>
        </w:drawing>
      </w:r>
      <w:r>
        <w:t xml:space="preserve">     </w:t>
      </w:r>
      <w:r>
        <w:rPr>
          <w:noProof/>
        </w:rPr>
        <w:drawing>
          <wp:inline distT="0" distB="0" distL="0" distR="0" wp14:anchorId="20A8A765" wp14:editId="012A8D9C">
            <wp:extent cx="1508125" cy="308610"/>
            <wp:effectExtent l="0" t="0" r="0" b="0"/>
            <wp:docPr id="128" name="Picture 128" descr="Rolls-Royce-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lls-Royce-Logo-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8125" cy="308610"/>
                    </a:xfrm>
                    <a:prstGeom prst="rect">
                      <a:avLst/>
                    </a:prstGeom>
                    <a:noFill/>
                    <a:ln>
                      <a:noFill/>
                    </a:ln>
                  </pic:spPr>
                </pic:pic>
              </a:graphicData>
            </a:graphic>
          </wp:inline>
        </w:drawing>
      </w:r>
      <w:r>
        <w:t xml:space="preserve">    </w:t>
      </w:r>
      <w:r>
        <w:rPr>
          <w:noProof/>
        </w:rPr>
        <w:drawing>
          <wp:inline distT="0" distB="0" distL="0" distR="0" wp14:anchorId="58874AD3" wp14:editId="594E607C">
            <wp:extent cx="1697990" cy="285115"/>
            <wp:effectExtent l="0" t="0" r="0" b="635"/>
            <wp:docPr id="16" name="Picture 16" descr="Sellafield-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lafield-Logo-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7990" cy="285115"/>
                    </a:xfrm>
                    <a:prstGeom prst="rect">
                      <a:avLst/>
                    </a:prstGeom>
                    <a:noFill/>
                    <a:ln>
                      <a:noFill/>
                    </a:ln>
                  </pic:spPr>
                </pic:pic>
              </a:graphicData>
            </a:graphic>
          </wp:inline>
        </w:drawing>
      </w:r>
    </w:p>
    <w:p w14:paraId="25DB6876" w14:textId="77777777" w:rsidR="00F64686" w:rsidRDefault="00F64686" w:rsidP="00F64686">
      <w:pPr>
        <w:ind w:firstLine="720"/>
      </w:pPr>
      <w:r>
        <w:rPr>
          <w:noProof/>
        </w:rPr>
        <w:drawing>
          <wp:inline distT="0" distB="0" distL="0" distR="0" wp14:anchorId="2ED86691" wp14:editId="3EE38345">
            <wp:extent cx="733425" cy="1137770"/>
            <wp:effectExtent l="0" t="0" r="0" b="5715"/>
            <wp:docPr id="129" name="Picture 129" descr="EDF Energ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F Energy-Logo-x"/>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6331" cy="1142278"/>
                    </a:xfrm>
                    <a:prstGeom prst="rect">
                      <a:avLst/>
                    </a:prstGeom>
                    <a:noFill/>
                    <a:ln>
                      <a:noFill/>
                    </a:ln>
                  </pic:spPr>
                </pic:pic>
              </a:graphicData>
            </a:graphic>
          </wp:inline>
        </w:drawing>
      </w:r>
      <w:r>
        <w:tab/>
        <w:t xml:space="preserve"> </w:t>
      </w:r>
      <w:r>
        <w:tab/>
      </w:r>
      <w:r>
        <w:rPr>
          <w:noProof/>
        </w:rPr>
        <w:drawing>
          <wp:inline distT="0" distB="0" distL="0" distR="0" wp14:anchorId="392FC98E" wp14:editId="79541E1B">
            <wp:extent cx="933450" cy="946626"/>
            <wp:effectExtent l="0" t="0" r="0" b="6350"/>
            <wp:docPr id="18" name="Picture 18" descr="General Electric-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l Electric-Logo-x"/>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4470" cy="947661"/>
                    </a:xfrm>
                    <a:prstGeom prst="rect">
                      <a:avLst/>
                    </a:prstGeom>
                    <a:noFill/>
                    <a:ln>
                      <a:noFill/>
                    </a:ln>
                  </pic:spPr>
                </pic:pic>
              </a:graphicData>
            </a:graphic>
          </wp:inline>
        </w:drawing>
      </w:r>
      <w:r>
        <w:tab/>
      </w:r>
      <w:r>
        <w:tab/>
      </w:r>
      <w:r w:rsidRPr="004334C9">
        <w:rPr>
          <w:noProof/>
        </w:rPr>
        <w:drawing>
          <wp:inline distT="0" distB="0" distL="0" distR="0" wp14:anchorId="2B13E3A0" wp14:editId="351047AB">
            <wp:extent cx="1637872" cy="14382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7872" cy="1438275"/>
                    </a:xfrm>
                    <a:prstGeom prst="rect">
                      <a:avLst/>
                    </a:prstGeom>
                    <a:noFill/>
                    <a:ln>
                      <a:noFill/>
                    </a:ln>
                  </pic:spPr>
                </pic:pic>
              </a:graphicData>
            </a:graphic>
          </wp:inline>
        </w:drawing>
      </w:r>
      <w:r>
        <w:t xml:space="preserve">    </w:t>
      </w:r>
    </w:p>
    <w:p w14:paraId="6D434025" w14:textId="77777777" w:rsidR="00F64686" w:rsidRDefault="00F64686" w:rsidP="00F64686">
      <w:pPr>
        <w:ind w:firstLine="720"/>
      </w:pPr>
    </w:p>
    <w:p w14:paraId="4800BE02" w14:textId="77777777" w:rsidR="00F64686" w:rsidRDefault="00F64686" w:rsidP="00F64686">
      <w:pPr>
        <w:ind w:firstLine="720"/>
        <w:rPr>
          <w:noProof/>
        </w:rPr>
      </w:pPr>
      <w:r>
        <w:rPr>
          <w:noProof/>
        </w:rPr>
        <w:drawing>
          <wp:inline distT="0" distB="0" distL="0" distR="0" wp14:anchorId="4C9A3D18" wp14:editId="5426909E">
            <wp:extent cx="1662430" cy="379730"/>
            <wp:effectExtent l="0" t="0" r="0" b="1270"/>
            <wp:docPr id="20" name="Picture 20" descr="NuGen-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Gen-logo-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2430" cy="379730"/>
                    </a:xfrm>
                    <a:prstGeom prst="rect">
                      <a:avLst/>
                    </a:prstGeom>
                    <a:noFill/>
                    <a:ln>
                      <a:noFill/>
                    </a:ln>
                  </pic:spPr>
                </pic:pic>
              </a:graphicData>
            </a:graphic>
          </wp:inline>
        </w:drawing>
      </w:r>
      <w:r>
        <w:tab/>
        <w:t xml:space="preserve"> </w:t>
      </w:r>
      <w:r>
        <w:rPr>
          <w:noProof/>
        </w:rPr>
        <w:tab/>
      </w:r>
      <w:r>
        <w:rPr>
          <w:noProof/>
        </w:rPr>
        <w:drawing>
          <wp:inline distT="0" distB="0" distL="0" distR="0" wp14:anchorId="6686E180" wp14:editId="5F85DF1D">
            <wp:extent cx="1318260" cy="344170"/>
            <wp:effectExtent l="0" t="0" r="0" b="0"/>
            <wp:docPr id="22" name="Picture 22" descr="Dounreay-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unreay-Logo-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8260" cy="344170"/>
                    </a:xfrm>
                    <a:prstGeom prst="rect">
                      <a:avLst/>
                    </a:prstGeom>
                    <a:noFill/>
                    <a:ln>
                      <a:noFill/>
                    </a:ln>
                  </pic:spPr>
                </pic:pic>
              </a:graphicData>
            </a:graphic>
          </wp:inline>
        </w:drawing>
      </w:r>
      <w:r>
        <w:rPr>
          <w:noProof/>
        </w:rPr>
        <w:t xml:space="preserve"> </w:t>
      </w:r>
      <w:r>
        <w:rPr>
          <w:noProof/>
        </w:rPr>
        <w:tab/>
      </w:r>
      <w:r>
        <w:rPr>
          <w:noProof/>
        </w:rPr>
        <w:tab/>
      </w:r>
      <w:r>
        <w:rPr>
          <w:noProof/>
        </w:rPr>
        <w:drawing>
          <wp:inline distT="0" distB="0" distL="0" distR="0" wp14:anchorId="2DCD3FCA" wp14:editId="36150392">
            <wp:extent cx="1219200" cy="46609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rizon logo (2).png"/>
                    <pic:cNvPicPr/>
                  </pic:nvPicPr>
                  <pic:blipFill>
                    <a:blip r:embed="rId31">
                      <a:extLst>
                        <a:ext uri="{28A0092B-C50C-407E-A947-70E740481C1C}">
                          <a14:useLocalDpi xmlns:a14="http://schemas.microsoft.com/office/drawing/2010/main" val="0"/>
                        </a:ext>
                      </a:extLst>
                    </a:blip>
                    <a:stretch>
                      <a:fillRect/>
                    </a:stretch>
                  </pic:blipFill>
                  <pic:spPr>
                    <a:xfrm>
                      <a:off x="0" y="0"/>
                      <a:ext cx="1270892" cy="485851"/>
                    </a:xfrm>
                    <a:prstGeom prst="rect">
                      <a:avLst/>
                    </a:prstGeom>
                  </pic:spPr>
                </pic:pic>
              </a:graphicData>
            </a:graphic>
          </wp:inline>
        </w:drawing>
      </w:r>
    </w:p>
    <w:p w14:paraId="5F862239" w14:textId="77777777" w:rsidR="00F64686" w:rsidRDefault="00F64686" w:rsidP="00F64686">
      <w:pPr>
        <w:ind w:firstLine="720"/>
        <w:rPr>
          <w:noProof/>
        </w:rPr>
      </w:pPr>
    </w:p>
    <w:bookmarkEnd w:id="13"/>
    <w:p w14:paraId="37DBDA32" w14:textId="77777777" w:rsidR="00F64686" w:rsidRDefault="00F64686" w:rsidP="00F64686"/>
    <w:p w14:paraId="084E82D0" w14:textId="77777777" w:rsidR="00F64686" w:rsidRDefault="00F64686" w:rsidP="00F64686">
      <w:pPr>
        <w:sectPr w:rsidR="00F64686" w:rsidSect="00AD6AA4">
          <w:headerReference w:type="default" r:id="rId32"/>
          <w:footerReference w:type="default" r:id="rId33"/>
          <w:headerReference w:type="first" r:id="rId34"/>
          <w:footerReference w:type="first" r:id="rId35"/>
          <w:pgSz w:w="11906" w:h="16838" w:code="9"/>
          <w:pgMar w:top="1418" w:right="1134" w:bottom="1418" w:left="1134" w:header="709" w:footer="709" w:gutter="0"/>
          <w:cols w:space="708"/>
          <w:titlePg/>
          <w:docGrid w:linePitch="360"/>
        </w:sectPr>
      </w:pPr>
    </w:p>
    <w:p w14:paraId="46FD2673" w14:textId="77777777" w:rsidR="00F64686" w:rsidRPr="002049DE" w:rsidRDefault="00F64686" w:rsidP="00F64686">
      <w:pPr>
        <w:spacing w:before="120" w:after="120"/>
      </w:pPr>
    </w:p>
    <w:p w14:paraId="78B8EF27" w14:textId="77777777" w:rsidR="00F64686" w:rsidRPr="002049DE" w:rsidRDefault="00F64686" w:rsidP="00F64686">
      <w:r w:rsidRPr="002049DE">
        <w:t>Safety Case Forum Guides are available on the Nuclear Institute Website;</w:t>
      </w:r>
    </w:p>
    <w:p w14:paraId="69BBA227" w14:textId="77777777" w:rsidR="00F64686" w:rsidRPr="002049DE" w:rsidRDefault="00303E2A" w:rsidP="00F64686">
      <w:hyperlink r:id="rId36" w:history="1">
        <w:r w:rsidR="00F64686" w:rsidRPr="002049DE">
          <w:rPr>
            <w:rStyle w:val="Hyperlink"/>
          </w:rPr>
          <w:t>http://www.nuclearinst.com/SDF-safety-cases</w:t>
        </w:r>
      </w:hyperlink>
    </w:p>
    <w:p w14:paraId="5E489D17" w14:textId="77777777" w:rsidR="00F64686" w:rsidRPr="002049DE" w:rsidRDefault="00F64686" w:rsidP="00F64686">
      <w:pPr>
        <w:spacing w:before="120" w:after="120"/>
      </w:pPr>
    </w:p>
    <w:p w14:paraId="22BF5CEA" w14:textId="77777777" w:rsidR="00F64686" w:rsidRPr="002049DE" w:rsidRDefault="00F64686" w:rsidP="00F64686">
      <w:pPr>
        <w:spacing w:before="120" w:after="120"/>
      </w:pPr>
    </w:p>
    <w:p w14:paraId="225C4384" w14:textId="77777777" w:rsidR="00F64686" w:rsidRPr="002049DE" w:rsidRDefault="00F64686" w:rsidP="00F64686">
      <w:pPr>
        <w:spacing w:before="120" w:after="120"/>
      </w:pPr>
    </w:p>
    <w:p w14:paraId="4896F5DF" w14:textId="77777777" w:rsidR="00F64686" w:rsidRPr="0020115E" w:rsidRDefault="00F64686" w:rsidP="00F64686">
      <w:pPr>
        <w:spacing w:before="240" w:after="120"/>
        <w:rPr>
          <w:b/>
          <w:bCs/>
          <w:sz w:val="32"/>
          <w:szCs w:val="32"/>
        </w:rPr>
      </w:pPr>
      <w:r w:rsidRPr="0020115E">
        <w:rPr>
          <w:b/>
          <w:bCs/>
          <w:sz w:val="32"/>
          <w:szCs w:val="32"/>
        </w:rPr>
        <w:t>Disclaimer</w:t>
      </w:r>
    </w:p>
    <w:p w14:paraId="62633A76" w14:textId="77777777" w:rsidR="00F64686" w:rsidRDefault="00F64686" w:rsidP="00F64686">
      <w:pPr>
        <w:pBdr>
          <w:top w:val="threeDEngrave" w:sz="48" w:space="3" w:color="0000FF"/>
          <w:left w:val="threeDEngrave" w:sz="48" w:space="4" w:color="0000FF"/>
          <w:bottom w:val="threeDEngrave" w:sz="48" w:space="1" w:color="0000FF"/>
          <w:right w:val="threeDEngrave" w:sz="48" w:space="4" w:color="0000FF"/>
        </w:pBdr>
        <w:spacing w:before="240" w:after="240"/>
      </w:pPr>
      <w:r w:rsidRPr="007358D5">
        <w:t xml:space="preserve">This </w:t>
      </w:r>
      <w:r w:rsidRPr="00860D01">
        <w:t xml:space="preserve">UK </w:t>
      </w:r>
      <w:r w:rsidRPr="00CC4BA1">
        <w:t>Nuclear Industry Guide has</w:t>
      </w:r>
      <w:r w:rsidRPr="007358D5">
        <w:t xml:space="preserve"> been prepared on behalf of the Safety Directors</w:t>
      </w:r>
      <w:r>
        <w:t>’</w:t>
      </w:r>
      <w:r w:rsidRPr="007358D5">
        <w:t xml:space="preserve"> Forum by a Technical Working Group. </w:t>
      </w:r>
      <w:r>
        <w:t xml:space="preserve"> </w:t>
      </w:r>
      <w:r w:rsidRPr="007358D5">
        <w:t xml:space="preserve">Statements and technical information contained in this Guide are believed to be accurate at the time of writing. </w:t>
      </w:r>
      <w:r>
        <w:t xml:space="preserve"> </w:t>
      </w:r>
      <w:r w:rsidRPr="007358D5">
        <w:t xml:space="preserve">However, it may not be accurate, complete, up to date or applicable to the circumstances of any particular case. </w:t>
      </w:r>
      <w:r>
        <w:t xml:space="preserve"> </w:t>
      </w:r>
      <w:r w:rsidRPr="007358D5">
        <w:t xml:space="preserve">This Guide is not a standard, specification or regulation, nor a Code of Practice and should not be read as such. </w:t>
      </w:r>
      <w:r>
        <w:t xml:space="preserve"> </w:t>
      </w:r>
      <w:r w:rsidRPr="007358D5">
        <w:t xml:space="preserve">We shall not be liable for any direct, indirect, special, punitive or consequential damages or loss whether in statute, contract, negligence or otherwise, arising out of or in connection with the use of information within this </w:t>
      </w:r>
      <w:r>
        <w:t>UK Nuclear Industry</w:t>
      </w:r>
      <w:r w:rsidRPr="007358D5">
        <w:t xml:space="preserve"> Guide.</w:t>
      </w:r>
    </w:p>
    <w:p w14:paraId="13C6A187" w14:textId="77777777" w:rsidR="00F64686" w:rsidRDefault="00F64686" w:rsidP="00F64686">
      <w:pPr>
        <w:pBdr>
          <w:top w:val="threeDEngrave" w:sz="48" w:space="3" w:color="0000FF"/>
          <w:left w:val="threeDEngrave" w:sz="48" w:space="4" w:color="0000FF"/>
          <w:bottom w:val="threeDEngrave" w:sz="48" w:space="1" w:color="0000FF"/>
          <w:right w:val="threeDEngrave" w:sz="48" w:space="4" w:color="0000FF"/>
        </w:pBdr>
        <w:spacing w:before="240" w:after="240"/>
      </w:pPr>
      <w:r>
        <w:t>This guide is produced by the Nuclear Industry.  It is not prescriptive but offers guidance and in some cases a toolbox of methods and techniques that can be used to demonstrate compliance with regulatory requirements and approaches.</w:t>
      </w:r>
    </w:p>
    <w:p w14:paraId="462F77A8" w14:textId="77777777" w:rsidR="00F64686" w:rsidRDefault="00F64686" w:rsidP="00F64686"/>
    <w:p w14:paraId="260E4A0A" w14:textId="77777777" w:rsidR="00F64686" w:rsidRDefault="00F64686">
      <w:r>
        <w:br w:type="page"/>
      </w:r>
    </w:p>
    <w:p w14:paraId="0D3B2B97" w14:textId="77777777" w:rsidR="00F64686" w:rsidRPr="008F5B66" w:rsidRDefault="00F64686" w:rsidP="00F64686">
      <w:pPr>
        <w:rPr>
          <w:b/>
          <w:bCs/>
          <w:sz w:val="32"/>
          <w:szCs w:val="32"/>
        </w:rPr>
      </w:pPr>
      <w:bookmarkStart w:id="14" w:name="_Toc408910516"/>
      <w:r w:rsidRPr="008F5B66">
        <w:rPr>
          <w:b/>
          <w:bCs/>
          <w:sz w:val="32"/>
          <w:szCs w:val="32"/>
        </w:rPr>
        <w:lastRenderedPageBreak/>
        <w:t>Contents</w:t>
      </w:r>
      <w:bookmarkEnd w:id="14"/>
    </w:p>
    <w:p w14:paraId="3203FE0C" w14:textId="77777777" w:rsidR="00F64686" w:rsidRDefault="00F64686" w:rsidP="00F64686"/>
    <w:p w14:paraId="23BEEA0C" w14:textId="4FD1221B" w:rsidR="00A03B28" w:rsidRDefault="00F64686">
      <w:pPr>
        <w:pStyle w:val="TOC1"/>
        <w:rPr>
          <w:rFonts w:asciiTheme="minorHAnsi" w:eastAsiaTheme="minorEastAsia" w:hAnsiTheme="minorHAnsi" w:cstheme="minorBidi"/>
          <w:b w:val="0"/>
          <w:bCs w:val="0"/>
          <w:caps w:val="0"/>
          <w:noProof/>
          <w:sz w:val="22"/>
          <w:szCs w:val="22"/>
        </w:rPr>
      </w:pPr>
      <w:r>
        <w:rPr>
          <w:i/>
          <w:iCs/>
          <w:sz w:val="20"/>
        </w:rPr>
        <w:fldChar w:fldCharType="begin"/>
      </w:r>
      <w:r>
        <w:rPr>
          <w:i/>
          <w:iCs/>
          <w:sz w:val="20"/>
        </w:rPr>
        <w:instrText xml:space="preserve"> TOC \o "1-2" \h \z \u </w:instrText>
      </w:r>
      <w:r>
        <w:rPr>
          <w:i/>
          <w:iCs/>
          <w:sz w:val="20"/>
        </w:rPr>
        <w:fldChar w:fldCharType="separate"/>
      </w:r>
      <w:hyperlink w:anchor="_Toc50110436" w:history="1">
        <w:r w:rsidR="00A03B28" w:rsidRPr="006551F0">
          <w:rPr>
            <w:rStyle w:val="Hyperlink"/>
            <w:noProof/>
          </w:rPr>
          <w:t>Foreword</w:t>
        </w:r>
        <w:r w:rsidR="00A03B28">
          <w:rPr>
            <w:noProof/>
            <w:webHidden/>
          </w:rPr>
          <w:tab/>
        </w:r>
        <w:r w:rsidR="00A03B28">
          <w:rPr>
            <w:noProof/>
            <w:webHidden/>
          </w:rPr>
          <w:fldChar w:fldCharType="begin"/>
        </w:r>
        <w:r w:rsidR="00A03B28">
          <w:rPr>
            <w:noProof/>
            <w:webHidden/>
          </w:rPr>
          <w:instrText xml:space="preserve"> PAGEREF _Toc50110436 \h </w:instrText>
        </w:r>
        <w:r w:rsidR="00A03B28">
          <w:rPr>
            <w:noProof/>
            <w:webHidden/>
          </w:rPr>
        </w:r>
        <w:r w:rsidR="00A03B28">
          <w:rPr>
            <w:noProof/>
            <w:webHidden/>
          </w:rPr>
          <w:fldChar w:fldCharType="separate"/>
        </w:r>
        <w:r w:rsidR="00A03B28">
          <w:rPr>
            <w:noProof/>
            <w:webHidden/>
          </w:rPr>
          <w:t>3</w:t>
        </w:r>
        <w:r w:rsidR="00A03B28">
          <w:rPr>
            <w:noProof/>
            <w:webHidden/>
          </w:rPr>
          <w:fldChar w:fldCharType="end"/>
        </w:r>
      </w:hyperlink>
    </w:p>
    <w:p w14:paraId="6E25A1C1" w14:textId="4C9FCAFD" w:rsidR="00A03B28" w:rsidRDefault="00A03B28">
      <w:pPr>
        <w:pStyle w:val="TOC1"/>
        <w:rPr>
          <w:rFonts w:asciiTheme="minorHAnsi" w:eastAsiaTheme="minorEastAsia" w:hAnsiTheme="minorHAnsi" w:cstheme="minorBidi"/>
          <w:b w:val="0"/>
          <w:bCs w:val="0"/>
          <w:caps w:val="0"/>
          <w:noProof/>
          <w:sz w:val="22"/>
          <w:szCs w:val="22"/>
        </w:rPr>
      </w:pPr>
      <w:hyperlink w:anchor="_Toc50110437" w:history="1">
        <w:r w:rsidRPr="006551F0">
          <w:rPr>
            <w:rStyle w:val="Hyperlink"/>
            <w:noProof/>
          </w:rPr>
          <w:t>Executive Summary</w:t>
        </w:r>
        <w:r>
          <w:rPr>
            <w:noProof/>
            <w:webHidden/>
          </w:rPr>
          <w:tab/>
        </w:r>
        <w:r>
          <w:rPr>
            <w:noProof/>
            <w:webHidden/>
          </w:rPr>
          <w:fldChar w:fldCharType="begin"/>
        </w:r>
        <w:r>
          <w:rPr>
            <w:noProof/>
            <w:webHidden/>
          </w:rPr>
          <w:instrText xml:space="preserve"> PAGEREF _Toc50110437 \h </w:instrText>
        </w:r>
        <w:r>
          <w:rPr>
            <w:noProof/>
            <w:webHidden/>
          </w:rPr>
        </w:r>
        <w:r>
          <w:rPr>
            <w:noProof/>
            <w:webHidden/>
          </w:rPr>
          <w:fldChar w:fldCharType="separate"/>
        </w:r>
        <w:r>
          <w:rPr>
            <w:noProof/>
            <w:webHidden/>
          </w:rPr>
          <w:t>3</w:t>
        </w:r>
        <w:r>
          <w:rPr>
            <w:noProof/>
            <w:webHidden/>
          </w:rPr>
          <w:fldChar w:fldCharType="end"/>
        </w:r>
      </w:hyperlink>
    </w:p>
    <w:p w14:paraId="34BB4952" w14:textId="4EF2955E" w:rsidR="00A03B28" w:rsidRDefault="00A03B28">
      <w:pPr>
        <w:pStyle w:val="TOC2"/>
        <w:tabs>
          <w:tab w:val="right" w:leader="dot" w:pos="9628"/>
        </w:tabs>
        <w:rPr>
          <w:rFonts w:asciiTheme="minorHAnsi" w:eastAsiaTheme="minorEastAsia" w:hAnsiTheme="minorHAnsi" w:cstheme="minorBidi"/>
          <w:smallCaps w:val="0"/>
          <w:noProof/>
          <w:szCs w:val="22"/>
        </w:rPr>
      </w:pPr>
      <w:hyperlink w:anchor="_Toc50110438" w:history="1">
        <w:r w:rsidRPr="006551F0">
          <w:rPr>
            <w:rStyle w:val="Hyperlink"/>
            <w:noProof/>
          </w:rPr>
          <w:t>Safety Directors’ Forum</w:t>
        </w:r>
        <w:r>
          <w:rPr>
            <w:noProof/>
            <w:webHidden/>
          </w:rPr>
          <w:tab/>
        </w:r>
        <w:r>
          <w:rPr>
            <w:noProof/>
            <w:webHidden/>
          </w:rPr>
          <w:fldChar w:fldCharType="begin"/>
        </w:r>
        <w:r>
          <w:rPr>
            <w:noProof/>
            <w:webHidden/>
          </w:rPr>
          <w:instrText xml:space="preserve"> PAGEREF _Toc50110438 \h </w:instrText>
        </w:r>
        <w:r>
          <w:rPr>
            <w:noProof/>
            <w:webHidden/>
          </w:rPr>
        </w:r>
        <w:r>
          <w:rPr>
            <w:noProof/>
            <w:webHidden/>
          </w:rPr>
          <w:fldChar w:fldCharType="separate"/>
        </w:r>
        <w:r>
          <w:rPr>
            <w:noProof/>
            <w:webHidden/>
          </w:rPr>
          <w:t>4</w:t>
        </w:r>
        <w:r>
          <w:rPr>
            <w:noProof/>
            <w:webHidden/>
          </w:rPr>
          <w:fldChar w:fldCharType="end"/>
        </w:r>
      </w:hyperlink>
    </w:p>
    <w:p w14:paraId="0FF8B153" w14:textId="195B04B6" w:rsidR="00A03B28" w:rsidRDefault="00A03B28">
      <w:pPr>
        <w:pStyle w:val="TOC2"/>
        <w:tabs>
          <w:tab w:val="right" w:leader="dot" w:pos="9628"/>
        </w:tabs>
        <w:rPr>
          <w:rFonts w:asciiTheme="minorHAnsi" w:eastAsiaTheme="minorEastAsia" w:hAnsiTheme="minorHAnsi" w:cstheme="minorBidi"/>
          <w:smallCaps w:val="0"/>
          <w:noProof/>
          <w:szCs w:val="22"/>
        </w:rPr>
      </w:pPr>
      <w:hyperlink w:anchor="_Toc50110439" w:history="1">
        <w:r w:rsidRPr="006551F0">
          <w:rPr>
            <w:rStyle w:val="Hyperlink"/>
            <w:noProof/>
          </w:rPr>
          <w:t>Safety Case Forum</w:t>
        </w:r>
        <w:r>
          <w:rPr>
            <w:noProof/>
            <w:webHidden/>
          </w:rPr>
          <w:tab/>
        </w:r>
        <w:r>
          <w:rPr>
            <w:noProof/>
            <w:webHidden/>
          </w:rPr>
          <w:fldChar w:fldCharType="begin"/>
        </w:r>
        <w:r>
          <w:rPr>
            <w:noProof/>
            <w:webHidden/>
          </w:rPr>
          <w:instrText xml:space="preserve"> PAGEREF _Toc50110439 \h </w:instrText>
        </w:r>
        <w:r>
          <w:rPr>
            <w:noProof/>
            <w:webHidden/>
          </w:rPr>
        </w:r>
        <w:r>
          <w:rPr>
            <w:noProof/>
            <w:webHidden/>
          </w:rPr>
          <w:fldChar w:fldCharType="separate"/>
        </w:r>
        <w:r>
          <w:rPr>
            <w:noProof/>
            <w:webHidden/>
          </w:rPr>
          <w:t>4</w:t>
        </w:r>
        <w:r>
          <w:rPr>
            <w:noProof/>
            <w:webHidden/>
          </w:rPr>
          <w:fldChar w:fldCharType="end"/>
        </w:r>
      </w:hyperlink>
    </w:p>
    <w:p w14:paraId="52B76B28" w14:textId="528F007A" w:rsidR="00A03B28" w:rsidRDefault="00A03B28">
      <w:pPr>
        <w:pStyle w:val="TOC1"/>
        <w:rPr>
          <w:rFonts w:asciiTheme="minorHAnsi" w:eastAsiaTheme="minorEastAsia" w:hAnsiTheme="minorHAnsi" w:cstheme="minorBidi"/>
          <w:b w:val="0"/>
          <w:bCs w:val="0"/>
          <w:caps w:val="0"/>
          <w:noProof/>
          <w:sz w:val="22"/>
          <w:szCs w:val="22"/>
        </w:rPr>
      </w:pPr>
      <w:hyperlink w:anchor="_Toc50110440" w:history="1">
        <w:r w:rsidRPr="006551F0">
          <w:rPr>
            <w:rStyle w:val="Hyperlink"/>
            <w:noProof/>
            <w:w w:val="99"/>
          </w:rPr>
          <w:t>1</w:t>
        </w:r>
        <w:r>
          <w:rPr>
            <w:rFonts w:asciiTheme="minorHAnsi" w:eastAsiaTheme="minorEastAsia" w:hAnsiTheme="minorHAnsi" w:cstheme="minorBidi"/>
            <w:b w:val="0"/>
            <w:bCs w:val="0"/>
            <w:caps w:val="0"/>
            <w:noProof/>
            <w:sz w:val="22"/>
            <w:szCs w:val="22"/>
          </w:rPr>
          <w:tab/>
        </w:r>
        <w:r w:rsidRPr="006551F0">
          <w:rPr>
            <w:rStyle w:val="Hyperlink"/>
            <w:noProof/>
          </w:rPr>
          <w:t>Introduction</w:t>
        </w:r>
        <w:r>
          <w:rPr>
            <w:noProof/>
            <w:webHidden/>
          </w:rPr>
          <w:tab/>
        </w:r>
        <w:r>
          <w:rPr>
            <w:noProof/>
            <w:webHidden/>
          </w:rPr>
          <w:fldChar w:fldCharType="begin"/>
        </w:r>
        <w:r>
          <w:rPr>
            <w:noProof/>
            <w:webHidden/>
          </w:rPr>
          <w:instrText xml:space="preserve"> PAGEREF _Toc50110440 \h </w:instrText>
        </w:r>
        <w:r>
          <w:rPr>
            <w:noProof/>
            <w:webHidden/>
          </w:rPr>
        </w:r>
        <w:r>
          <w:rPr>
            <w:noProof/>
            <w:webHidden/>
          </w:rPr>
          <w:fldChar w:fldCharType="separate"/>
        </w:r>
        <w:r>
          <w:rPr>
            <w:noProof/>
            <w:webHidden/>
          </w:rPr>
          <w:t>8</w:t>
        </w:r>
        <w:r>
          <w:rPr>
            <w:noProof/>
            <w:webHidden/>
          </w:rPr>
          <w:fldChar w:fldCharType="end"/>
        </w:r>
      </w:hyperlink>
    </w:p>
    <w:p w14:paraId="6196CB99" w14:textId="56C3613F"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41" w:history="1">
        <w:r w:rsidRPr="006551F0">
          <w:rPr>
            <w:rStyle w:val="Hyperlink"/>
            <w:noProof/>
          </w:rPr>
          <w:t>1.1</w:t>
        </w:r>
        <w:r>
          <w:rPr>
            <w:rFonts w:asciiTheme="minorHAnsi" w:eastAsiaTheme="minorEastAsia" w:hAnsiTheme="minorHAnsi" w:cstheme="minorBidi"/>
            <w:smallCaps w:val="0"/>
            <w:noProof/>
            <w:szCs w:val="22"/>
          </w:rPr>
          <w:tab/>
        </w:r>
        <w:r w:rsidRPr="006551F0">
          <w:rPr>
            <w:rStyle w:val="Hyperlink"/>
            <w:noProof/>
          </w:rPr>
          <w:t>Purpose</w:t>
        </w:r>
        <w:r>
          <w:rPr>
            <w:noProof/>
            <w:webHidden/>
          </w:rPr>
          <w:tab/>
        </w:r>
        <w:r>
          <w:rPr>
            <w:noProof/>
            <w:webHidden/>
          </w:rPr>
          <w:fldChar w:fldCharType="begin"/>
        </w:r>
        <w:r>
          <w:rPr>
            <w:noProof/>
            <w:webHidden/>
          </w:rPr>
          <w:instrText xml:space="preserve"> PAGEREF _Toc50110441 \h </w:instrText>
        </w:r>
        <w:r>
          <w:rPr>
            <w:noProof/>
            <w:webHidden/>
          </w:rPr>
        </w:r>
        <w:r>
          <w:rPr>
            <w:noProof/>
            <w:webHidden/>
          </w:rPr>
          <w:fldChar w:fldCharType="separate"/>
        </w:r>
        <w:r>
          <w:rPr>
            <w:noProof/>
            <w:webHidden/>
          </w:rPr>
          <w:t>8</w:t>
        </w:r>
        <w:r>
          <w:rPr>
            <w:noProof/>
            <w:webHidden/>
          </w:rPr>
          <w:fldChar w:fldCharType="end"/>
        </w:r>
      </w:hyperlink>
    </w:p>
    <w:p w14:paraId="710DA643" w14:textId="6D0739E4"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42" w:history="1">
        <w:r w:rsidRPr="006551F0">
          <w:rPr>
            <w:rStyle w:val="Hyperlink"/>
            <w:noProof/>
          </w:rPr>
          <w:t>1.2</w:t>
        </w:r>
        <w:r>
          <w:rPr>
            <w:rFonts w:asciiTheme="minorHAnsi" w:eastAsiaTheme="minorEastAsia" w:hAnsiTheme="minorHAnsi" w:cstheme="minorBidi"/>
            <w:smallCaps w:val="0"/>
            <w:noProof/>
            <w:szCs w:val="22"/>
          </w:rPr>
          <w:tab/>
        </w:r>
        <w:r w:rsidRPr="006551F0">
          <w:rPr>
            <w:rStyle w:val="Hyperlink"/>
            <w:noProof/>
          </w:rPr>
          <w:t>Scope</w:t>
        </w:r>
        <w:r>
          <w:rPr>
            <w:noProof/>
            <w:webHidden/>
          </w:rPr>
          <w:tab/>
        </w:r>
        <w:r>
          <w:rPr>
            <w:noProof/>
            <w:webHidden/>
          </w:rPr>
          <w:fldChar w:fldCharType="begin"/>
        </w:r>
        <w:r>
          <w:rPr>
            <w:noProof/>
            <w:webHidden/>
          </w:rPr>
          <w:instrText xml:space="preserve"> PAGEREF _Toc50110442 \h </w:instrText>
        </w:r>
        <w:r>
          <w:rPr>
            <w:noProof/>
            <w:webHidden/>
          </w:rPr>
        </w:r>
        <w:r>
          <w:rPr>
            <w:noProof/>
            <w:webHidden/>
          </w:rPr>
          <w:fldChar w:fldCharType="separate"/>
        </w:r>
        <w:r>
          <w:rPr>
            <w:noProof/>
            <w:webHidden/>
          </w:rPr>
          <w:t>8</w:t>
        </w:r>
        <w:r>
          <w:rPr>
            <w:noProof/>
            <w:webHidden/>
          </w:rPr>
          <w:fldChar w:fldCharType="end"/>
        </w:r>
      </w:hyperlink>
    </w:p>
    <w:p w14:paraId="33B057F2" w14:textId="7E4AE455" w:rsidR="00A03B28" w:rsidRDefault="00A03B28">
      <w:pPr>
        <w:pStyle w:val="TOC1"/>
        <w:rPr>
          <w:rFonts w:asciiTheme="minorHAnsi" w:eastAsiaTheme="minorEastAsia" w:hAnsiTheme="minorHAnsi" w:cstheme="minorBidi"/>
          <w:b w:val="0"/>
          <w:bCs w:val="0"/>
          <w:caps w:val="0"/>
          <w:noProof/>
          <w:sz w:val="22"/>
          <w:szCs w:val="22"/>
        </w:rPr>
      </w:pPr>
      <w:hyperlink w:anchor="_Toc50110443" w:history="1">
        <w:r w:rsidRPr="006551F0">
          <w:rPr>
            <w:rStyle w:val="Hyperlink"/>
            <w:noProof/>
            <w:w w:val="99"/>
          </w:rPr>
          <w:t>2</w:t>
        </w:r>
        <w:r>
          <w:rPr>
            <w:rFonts w:asciiTheme="minorHAnsi" w:eastAsiaTheme="minorEastAsia" w:hAnsiTheme="minorHAnsi" w:cstheme="minorBidi"/>
            <w:b w:val="0"/>
            <w:bCs w:val="0"/>
            <w:caps w:val="0"/>
            <w:noProof/>
            <w:sz w:val="22"/>
            <w:szCs w:val="22"/>
          </w:rPr>
          <w:tab/>
        </w:r>
        <w:r w:rsidRPr="006551F0">
          <w:rPr>
            <w:rStyle w:val="Hyperlink"/>
            <w:noProof/>
          </w:rPr>
          <w:t>Terminology/Key Concepts</w:t>
        </w:r>
        <w:r>
          <w:rPr>
            <w:noProof/>
            <w:webHidden/>
          </w:rPr>
          <w:tab/>
        </w:r>
        <w:r>
          <w:rPr>
            <w:noProof/>
            <w:webHidden/>
          </w:rPr>
          <w:fldChar w:fldCharType="begin"/>
        </w:r>
        <w:r>
          <w:rPr>
            <w:noProof/>
            <w:webHidden/>
          </w:rPr>
          <w:instrText xml:space="preserve"> PAGEREF _Toc50110443 \h </w:instrText>
        </w:r>
        <w:r>
          <w:rPr>
            <w:noProof/>
            <w:webHidden/>
          </w:rPr>
        </w:r>
        <w:r>
          <w:rPr>
            <w:noProof/>
            <w:webHidden/>
          </w:rPr>
          <w:fldChar w:fldCharType="separate"/>
        </w:r>
        <w:r>
          <w:rPr>
            <w:noProof/>
            <w:webHidden/>
          </w:rPr>
          <w:t>9</w:t>
        </w:r>
        <w:r>
          <w:rPr>
            <w:noProof/>
            <w:webHidden/>
          </w:rPr>
          <w:fldChar w:fldCharType="end"/>
        </w:r>
      </w:hyperlink>
    </w:p>
    <w:p w14:paraId="0F2A9F48" w14:textId="7A46A473"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44" w:history="1">
        <w:r w:rsidRPr="006551F0">
          <w:rPr>
            <w:rStyle w:val="Hyperlink"/>
            <w:noProof/>
          </w:rPr>
          <w:t>2.1</w:t>
        </w:r>
        <w:r>
          <w:rPr>
            <w:rFonts w:asciiTheme="minorHAnsi" w:eastAsiaTheme="minorEastAsia" w:hAnsiTheme="minorHAnsi" w:cstheme="minorBidi"/>
            <w:smallCaps w:val="0"/>
            <w:noProof/>
            <w:szCs w:val="22"/>
          </w:rPr>
          <w:tab/>
        </w:r>
        <w:r w:rsidRPr="006551F0">
          <w:rPr>
            <w:rStyle w:val="Hyperlink"/>
            <w:noProof/>
          </w:rPr>
          <w:t>Conservatism</w:t>
        </w:r>
        <w:r>
          <w:rPr>
            <w:noProof/>
            <w:webHidden/>
          </w:rPr>
          <w:tab/>
        </w:r>
        <w:r>
          <w:rPr>
            <w:noProof/>
            <w:webHidden/>
          </w:rPr>
          <w:fldChar w:fldCharType="begin"/>
        </w:r>
        <w:r>
          <w:rPr>
            <w:noProof/>
            <w:webHidden/>
          </w:rPr>
          <w:instrText xml:space="preserve"> PAGEREF _Toc50110444 \h </w:instrText>
        </w:r>
        <w:r>
          <w:rPr>
            <w:noProof/>
            <w:webHidden/>
          </w:rPr>
        </w:r>
        <w:r>
          <w:rPr>
            <w:noProof/>
            <w:webHidden/>
          </w:rPr>
          <w:fldChar w:fldCharType="separate"/>
        </w:r>
        <w:r>
          <w:rPr>
            <w:noProof/>
            <w:webHidden/>
          </w:rPr>
          <w:t>9</w:t>
        </w:r>
        <w:r>
          <w:rPr>
            <w:noProof/>
            <w:webHidden/>
          </w:rPr>
          <w:fldChar w:fldCharType="end"/>
        </w:r>
      </w:hyperlink>
    </w:p>
    <w:p w14:paraId="712D41C1" w14:textId="0C8A6DBE"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45" w:history="1">
        <w:r w:rsidRPr="006551F0">
          <w:rPr>
            <w:rStyle w:val="Hyperlink"/>
            <w:noProof/>
          </w:rPr>
          <w:t>2.2</w:t>
        </w:r>
        <w:r>
          <w:rPr>
            <w:rFonts w:asciiTheme="minorHAnsi" w:eastAsiaTheme="minorEastAsia" w:hAnsiTheme="minorHAnsi" w:cstheme="minorBidi"/>
            <w:smallCaps w:val="0"/>
            <w:noProof/>
            <w:szCs w:val="22"/>
          </w:rPr>
          <w:tab/>
        </w:r>
        <w:r w:rsidRPr="006551F0">
          <w:rPr>
            <w:rStyle w:val="Hyperlink"/>
            <w:noProof/>
          </w:rPr>
          <w:t>Uncertainty</w:t>
        </w:r>
        <w:r>
          <w:rPr>
            <w:noProof/>
            <w:webHidden/>
          </w:rPr>
          <w:tab/>
        </w:r>
        <w:r>
          <w:rPr>
            <w:noProof/>
            <w:webHidden/>
          </w:rPr>
          <w:fldChar w:fldCharType="begin"/>
        </w:r>
        <w:r>
          <w:rPr>
            <w:noProof/>
            <w:webHidden/>
          </w:rPr>
          <w:instrText xml:space="preserve"> PAGEREF _Toc50110445 \h </w:instrText>
        </w:r>
        <w:r>
          <w:rPr>
            <w:noProof/>
            <w:webHidden/>
          </w:rPr>
        </w:r>
        <w:r>
          <w:rPr>
            <w:noProof/>
            <w:webHidden/>
          </w:rPr>
          <w:fldChar w:fldCharType="separate"/>
        </w:r>
        <w:r>
          <w:rPr>
            <w:noProof/>
            <w:webHidden/>
          </w:rPr>
          <w:t>9</w:t>
        </w:r>
        <w:r>
          <w:rPr>
            <w:noProof/>
            <w:webHidden/>
          </w:rPr>
          <w:fldChar w:fldCharType="end"/>
        </w:r>
      </w:hyperlink>
    </w:p>
    <w:p w14:paraId="70407695" w14:textId="0FDE30A0" w:rsidR="00A03B28" w:rsidRDefault="00A03B28">
      <w:pPr>
        <w:pStyle w:val="TOC1"/>
        <w:rPr>
          <w:rFonts w:asciiTheme="minorHAnsi" w:eastAsiaTheme="minorEastAsia" w:hAnsiTheme="minorHAnsi" w:cstheme="minorBidi"/>
          <w:b w:val="0"/>
          <w:bCs w:val="0"/>
          <w:caps w:val="0"/>
          <w:noProof/>
          <w:sz w:val="22"/>
          <w:szCs w:val="22"/>
        </w:rPr>
      </w:pPr>
      <w:hyperlink w:anchor="_Toc50110446" w:history="1">
        <w:r w:rsidRPr="006551F0">
          <w:rPr>
            <w:rStyle w:val="Hyperlink"/>
            <w:noProof/>
            <w:w w:val="99"/>
          </w:rPr>
          <w:t>3</w:t>
        </w:r>
        <w:r>
          <w:rPr>
            <w:rFonts w:asciiTheme="minorHAnsi" w:eastAsiaTheme="minorEastAsia" w:hAnsiTheme="minorHAnsi" w:cstheme="minorBidi"/>
            <w:b w:val="0"/>
            <w:bCs w:val="0"/>
            <w:caps w:val="0"/>
            <w:noProof/>
            <w:sz w:val="22"/>
            <w:szCs w:val="22"/>
          </w:rPr>
          <w:tab/>
        </w:r>
        <w:r w:rsidRPr="006551F0">
          <w:rPr>
            <w:rStyle w:val="Hyperlink"/>
            <w:noProof/>
          </w:rPr>
          <w:t>Introduction to the Subject Matter</w:t>
        </w:r>
        <w:r>
          <w:rPr>
            <w:noProof/>
            <w:webHidden/>
          </w:rPr>
          <w:tab/>
        </w:r>
        <w:r>
          <w:rPr>
            <w:noProof/>
            <w:webHidden/>
          </w:rPr>
          <w:fldChar w:fldCharType="begin"/>
        </w:r>
        <w:r>
          <w:rPr>
            <w:noProof/>
            <w:webHidden/>
          </w:rPr>
          <w:instrText xml:space="preserve"> PAGEREF _Toc50110446 \h </w:instrText>
        </w:r>
        <w:r>
          <w:rPr>
            <w:noProof/>
            <w:webHidden/>
          </w:rPr>
        </w:r>
        <w:r>
          <w:rPr>
            <w:noProof/>
            <w:webHidden/>
          </w:rPr>
          <w:fldChar w:fldCharType="separate"/>
        </w:r>
        <w:r>
          <w:rPr>
            <w:noProof/>
            <w:webHidden/>
          </w:rPr>
          <w:t>11</w:t>
        </w:r>
        <w:r>
          <w:rPr>
            <w:noProof/>
            <w:webHidden/>
          </w:rPr>
          <w:fldChar w:fldCharType="end"/>
        </w:r>
      </w:hyperlink>
    </w:p>
    <w:p w14:paraId="74121A80" w14:textId="256A7CA1"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47" w:history="1">
        <w:r w:rsidRPr="006551F0">
          <w:rPr>
            <w:rStyle w:val="Hyperlink"/>
            <w:noProof/>
          </w:rPr>
          <w:t>3.1</w:t>
        </w:r>
        <w:r>
          <w:rPr>
            <w:rFonts w:asciiTheme="minorHAnsi" w:eastAsiaTheme="minorEastAsia" w:hAnsiTheme="minorHAnsi" w:cstheme="minorBidi"/>
            <w:smallCaps w:val="0"/>
            <w:noProof/>
            <w:szCs w:val="22"/>
          </w:rPr>
          <w:tab/>
        </w:r>
        <w:r w:rsidRPr="006551F0">
          <w:rPr>
            <w:rStyle w:val="Hyperlink"/>
            <w:noProof/>
          </w:rPr>
          <w:t>Relevant legislation</w:t>
        </w:r>
        <w:r>
          <w:rPr>
            <w:noProof/>
            <w:webHidden/>
          </w:rPr>
          <w:tab/>
        </w:r>
        <w:r>
          <w:rPr>
            <w:noProof/>
            <w:webHidden/>
          </w:rPr>
          <w:fldChar w:fldCharType="begin"/>
        </w:r>
        <w:r>
          <w:rPr>
            <w:noProof/>
            <w:webHidden/>
          </w:rPr>
          <w:instrText xml:space="preserve"> PAGEREF _Toc50110447 \h </w:instrText>
        </w:r>
        <w:r>
          <w:rPr>
            <w:noProof/>
            <w:webHidden/>
          </w:rPr>
        </w:r>
        <w:r>
          <w:rPr>
            <w:noProof/>
            <w:webHidden/>
          </w:rPr>
          <w:fldChar w:fldCharType="separate"/>
        </w:r>
        <w:r>
          <w:rPr>
            <w:noProof/>
            <w:webHidden/>
          </w:rPr>
          <w:t>11</w:t>
        </w:r>
        <w:r>
          <w:rPr>
            <w:noProof/>
            <w:webHidden/>
          </w:rPr>
          <w:fldChar w:fldCharType="end"/>
        </w:r>
      </w:hyperlink>
    </w:p>
    <w:p w14:paraId="758FA1C0" w14:textId="1069FC84" w:rsidR="00A03B28" w:rsidRDefault="00A03B28">
      <w:pPr>
        <w:pStyle w:val="TOC1"/>
        <w:rPr>
          <w:rFonts w:asciiTheme="minorHAnsi" w:eastAsiaTheme="minorEastAsia" w:hAnsiTheme="minorHAnsi" w:cstheme="minorBidi"/>
          <w:b w:val="0"/>
          <w:bCs w:val="0"/>
          <w:caps w:val="0"/>
          <w:noProof/>
          <w:sz w:val="22"/>
          <w:szCs w:val="22"/>
        </w:rPr>
      </w:pPr>
      <w:hyperlink w:anchor="_Toc50110448" w:history="1">
        <w:r w:rsidRPr="006551F0">
          <w:rPr>
            <w:rStyle w:val="Hyperlink"/>
            <w:noProof/>
            <w:w w:val="99"/>
          </w:rPr>
          <w:t>4</w:t>
        </w:r>
        <w:r>
          <w:rPr>
            <w:rFonts w:asciiTheme="minorHAnsi" w:eastAsiaTheme="minorEastAsia" w:hAnsiTheme="minorHAnsi" w:cstheme="minorBidi"/>
            <w:b w:val="0"/>
            <w:bCs w:val="0"/>
            <w:caps w:val="0"/>
            <w:noProof/>
            <w:sz w:val="22"/>
            <w:szCs w:val="22"/>
          </w:rPr>
          <w:tab/>
        </w:r>
        <w:r w:rsidRPr="006551F0">
          <w:rPr>
            <w:rStyle w:val="Hyperlink"/>
            <w:noProof/>
          </w:rPr>
          <w:t>Guiding Principles/Concepts</w:t>
        </w:r>
        <w:r>
          <w:rPr>
            <w:noProof/>
            <w:webHidden/>
          </w:rPr>
          <w:tab/>
        </w:r>
        <w:r>
          <w:rPr>
            <w:noProof/>
            <w:webHidden/>
          </w:rPr>
          <w:fldChar w:fldCharType="begin"/>
        </w:r>
        <w:r>
          <w:rPr>
            <w:noProof/>
            <w:webHidden/>
          </w:rPr>
          <w:instrText xml:space="preserve"> PAGEREF _Toc50110448 \h </w:instrText>
        </w:r>
        <w:r>
          <w:rPr>
            <w:noProof/>
            <w:webHidden/>
          </w:rPr>
        </w:r>
        <w:r>
          <w:rPr>
            <w:noProof/>
            <w:webHidden/>
          </w:rPr>
          <w:fldChar w:fldCharType="separate"/>
        </w:r>
        <w:r>
          <w:rPr>
            <w:noProof/>
            <w:webHidden/>
          </w:rPr>
          <w:t>12</w:t>
        </w:r>
        <w:r>
          <w:rPr>
            <w:noProof/>
            <w:webHidden/>
          </w:rPr>
          <w:fldChar w:fldCharType="end"/>
        </w:r>
      </w:hyperlink>
    </w:p>
    <w:p w14:paraId="223D2954" w14:textId="69118AD4" w:rsidR="00A03B28" w:rsidRDefault="00A03B28">
      <w:pPr>
        <w:pStyle w:val="TOC1"/>
        <w:rPr>
          <w:rFonts w:asciiTheme="minorHAnsi" w:eastAsiaTheme="minorEastAsia" w:hAnsiTheme="minorHAnsi" w:cstheme="minorBidi"/>
          <w:b w:val="0"/>
          <w:bCs w:val="0"/>
          <w:caps w:val="0"/>
          <w:noProof/>
          <w:sz w:val="22"/>
          <w:szCs w:val="22"/>
        </w:rPr>
      </w:pPr>
      <w:hyperlink w:anchor="_Toc50110449" w:history="1">
        <w:r w:rsidRPr="006551F0">
          <w:rPr>
            <w:rStyle w:val="Hyperlink"/>
            <w:noProof/>
            <w:w w:val="99"/>
          </w:rPr>
          <w:t>5</w:t>
        </w:r>
        <w:r>
          <w:rPr>
            <w:rFonts w:asciiTheme="minorHAnsi" w:eastAsiaTheme="minorEastAsia" w:hAnsiTheme="minorHAnsi" w:cstheme="minorBidi"/>
            <w:b w:val="0"/>
            <w:bCs w:val="0"/>
            <w:caps w:val="0"/>
            <w:noProof/>
            <w:sz w:val="22"/>
            <w:szCs w:val="22"/>
          </w:rPr>
          <w:tab/>
        </w:r>
        <w:r w:rsidRPr="006551F0">
          <w:rPr>
            <w:rStyle w:val="Hyperlink"/>
            <w:noProof/>
          </w:rPr>
          <w:t>Over-Conservatism</w:t>
        </w:r>
        <w:r>
          <w:rPr>
            <w:noProof/>
            <w:webHidden/>
          </w:rPr>
          <w:tab/>
        </w:r>
        <w:r>
          <w:rPr>
            <w:noProof/>
            <w:webHidden/>
          </w:rPr>
          <w:fldChar w:fldCharType="begin"/>
        </w:r>
        <w:r>
          <w:rPr>
            <w:noProof/>
            <w:webHidden/>
          </w:rPr>
          <w:instrText xml:space="preserve"> PAGEREF _Toc50110449 \h </w:instrText>
        </w:r>
        <w:r>
          <w:rPr>
            <w:noProof/>
            <w:webHidden/>
          </w:rPr>
        </w:r>
        <w:r>
          <w:rPr>
            <w:noProof/>
            <w:webHidden/>
          </w:rPr>
          <w:fldChar w:fldCharType="separate"/>
        </w:r>
        <w:r>
          <w:rPr>
            <w:noProof/>
            <w:webHidden/>
          </w:rPr>
          <w:t>13</w:t>
        </w:r>
        <w:r>
          <w:rPr>
            <w:noProof/>
            <w:webHidden/>
          </w:rPr>
          <w:fldChar w:fldCharType="end"/>
        </w:r>
      </w:hyperlink>
    </w:p>
    <w:p w14:paraId="1F67489F" w14:textId="252A972F" w:rsidR="00A03B28" w:rsidRDefault="00A03B28">
      <w:pPr>
        <w:pStyle w:val="TOC1"/>
        <w:rPr>
          <w:rFonts w:asciiTheme="minorHAnsi" w:eastAsiaTheme="minorEastAsia" w:hAnsiTheme="minorHAnsi" w:cstheme="minorBidi"/>
          <w:b w:val="0"/>
          <w:bCs w:val="0"/>
          <w:caps w:val="0"/>
          <w:noProof/>
          <w:sz w:val="22"/>
          <w:szCs w:val="22"/>
        </w:rPr>
      </w:pPr>
      <w:hyperlink w:anchor="_Toc50110450" w:history="1">
        <w:r w:rsidRPr="006551F0">
          <w:rPr>
            <w:rStyle w:val="Hyperlink"/>
            <w:noProof/>
            <w:w w:val="99"/>
          </w:rPr>
          <w:t>6</w:t>
        </w:r>
        <w:r>
          <w:rPr>
            <w:rFonts w:asciiTheme="minorHAnsi" w:eastAsiaTheme="minorEastAsia" w:hAnsiTheme="minorHAnsi" w:cstheme="minorBidi"/>
            <w:b w:val="0"/>
            <w:bCs w:val="0"/>
            <w:caps w:val="0"/>
            <w:noProof/>
            <w:sz w:val="22"/>
            <w:szCs w:val="22"/>
          </w:rPr>
          <w:tab/>
        </w:r>
        <w:r w:rsidRPr="006551F0">
          <w:rPr>
            <w:rStyle w:val="Hyperlink"/>
            <w:noProof/>
          </w:rPr>
          <w:t>Achieving a Balance between Under-Conservatism and Over-Conservatism (including Examples)</w:t>
        </w:r>
        <w:r>
          <w:rPr>
            <w:noProof/>
            <w:webHidden/>
          </w:rPr>
          <w:tab/>
        </w:r>
        <w:r>
          <w:rPr>
            <w:noProof/>
            <w:webHidden/>
          </w:rPr>
          <w:fldChar w:fldCharType="begin"/>
        </w:r>
        <w:r>
          <w:rPr>
            <w:noProof/>
            <w:webHidden/>
          </w:rPr>
          <w:instrText xml:space="preserve"> PAGEREF _Toc50110450 \h </w:instrText>
        </w:r>
        <w:r>
          <w:rPr>
            <w:noProof/>
            <w:webHidden/>
          </w:rPr>
        </w:r>
        <w:r>
          <w:rPr>
            <w:noProof/>
            <w:webHidden/>
          </w:rPr>
          <w:fldChar w:fldCharType="separate"/>
        </w:r>
        <w:r>
          <w:rPr>
            <w:noProof/>
            <w:webHidden/>
          </w:rPr>
          <w:t>15</w:t>
        </w:r>
        <w:r>
          <w:rPr>
            <w:noProof/>
            <w:webHidden/>
          </w:rPr>
          <w:fldChar w:fldCharType="end"/>
        </w:r>
      </w:hyperlink>
    </w:p>
    <w:p w14:paraId="5859ABB7" w14:textId="06BF1815"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1" w:history="1">
        <w:r w:rsidRPr="006551F0">
          <w:rPr>
            <w:rStyle w:val="Hyperlink"/>
            <w:noProof/>
          </w:rPr>
          <w:t>6.1</w:t>
        </w:r>
        <w:r>
          <w:rPr>
            <w:rFonts w:asciiTheme="minorHAnsi" w:eastAsiaTheme="minorEastAsia" w:hAnsiTheme="minorHAnsi" w:cstheme="minorBidi"/>
            <w:smallCaps w:val="0"/>
            <w:noProof/>
            <w:szCs w:val="22"/>
          </w:rPr>
          <w:tab/>
        </w:r>
        <w:r w:rsidRPr="006551F0">
          <w:rPr>
            <w:rStyle w:val="Hyperlink"/>
            <w:noProof/>
          </w:rPr>
          <w:t>Achieving a Balance in Design</w:t>
        </w:r>
        <w:r>
          <w:rPr>
            <w:noProof/>
            <w:webHidden/>
          </w:rPr>
          <w:tab/>
        </w:r>
        <w:r>
          <w:rPr>
            <w:noProof/>
            <w:webHidden/>
          </w:rPr>
          <w:fldChar w:fldCharType="begin"/>
        </w:r>
        <w:r>
          <w:rPr>
            <w:noProof/>
            <w:webHidden/>
          </w:rPr>
          <w:instrText xml:space="preserve"> PAGEREF _Toc50110451 \h </w:instrText>
        </w:r>
        <w:r>
          <w:rPr>
            <w:noProof/>
            <w:webHidden/>
          </w:rPr>
        </w:r>
        <w:r>
          <w:rPr>
            <w:noProof/>
            <w:webHidden/>
          </w:rPr>
          <w:fldChar w:fldCharType="separate"/>
        </w:r>
        <w:r>
          <w:rPr>
            <w:noProof/>
            <w:webHidden/>
          </w:rPr>
          <w:t>15</w:t>
        </w:r>
        <w:r>
          <w:rPr>
            <w:noProof/>
            <w:webHidden/>
          </w:rPr>
          <w:fldChar w:fldCharType="end"/>
        </w:r>
      </w:hyperlink>
    </w:p>
    <w:p w14:paraId="031D6EEA" w14:textId="4A0314DB"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2" w:history="1">
        <w:r w:rsidRPr="006551F0">
          <w:rPr>
            <w:rStyle w:val="Hyperlink"/>
            <w:noProof/>
          </w:rPr>
          <w:t>6.2</w:t>
        </w:r>
        <w:r>
          <w:rPr>
            <w:rFonts w:asciiTheme="minorHAnsi" w:eastAsiaTheme="minorEastAsia" w:hAnsiTheme="minorHAnsi" w:cstheme="minorBidi"/>
            <w:smallCaps w:val="0"/>
            <w:noProof/>
            <w:szCs w:val="22"/>
          </w:rPr>
          <w:tab/>
        </w:r>
        <w:r w:rsidRPr="006551F0">
          <w:rPr>
            <w:rStyle w:val="Hyperlink"/>
            <w:noProof/>
          </w:rPr>
          <w:t>Achieving a Balance in Fault Progression</w:t>
        </w:r>
        <w:r>
          <w:rPr>
            <w:noProof/>
            <w:webHidden/>
          </w:rPr>
          <w:tab/>
        </w:r>
        <w:r>
          <w:rPr>
            <w:noProof/>
            <w:webHidden/>
          </w:rPr>
          <w:fldChar w:fldCharType="begin"/>
        </w:r>
        <w:r>
          <w:rPr>
            <w:noProof/>
            <w:webHidden/>
          </w:rPr>
          <w:instrText xml:space="preserve"> PAGEREF _Toc50110452 \h </w:instrText>
        </w:r>
        <w:r>
          <w:rPr>
            <w:noProof/>
            <w:webHidden/>
          </w:rPr>
        </w:r>
        <w:r>
          <w:rPr>
            <w:noProof/>
            <w:webHidden/>
          </w:rPr>
          <w:fldChar w:fldCharType="separate"/>
        </w:r>
        <w:r>
          <w:rPr>
            <w:noProof/>
            <w:webHidden/>
          </w:rPr>
          <w:t>16</w:t>
        </w:r>
        <w:r>
          <w:rPr>
            <w:noProof/>
            <w:webHidden/>
          </w:rPr>
          <w:fldChar w:fldCharType="end"/>
        </w:r>
      </w:hyperlink>
    </w:p>
    <w:p w14:paraId="1B34BBE9" w14:textId="1B224590"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3" w:history="1">
        <w:r w:rsidRPr="006551F0">
          <w:rPr>
            <w:rStyle w:val="Hyperlink"/>
            <w:noProof/>
          </w:rPr>
          <w:t>6.3</w:t>
        </w:r>
        <w:r>
          <w:rPr>
            <w:rFonts w:asciiTheme="minorHAnsi" w:eastAsiaTheme="minorEastAsia" w:hAnsiTheme="minorHAnsi" w:cstheme="minorBidi"/>
            <w:smallCaps w:val="0"/>
            <w:noProof/>
            <w:szCs w:val="22"/>
          </w:rPr>
          <w:tab/>
        </w:r>
        <w:r w:rsidRPr="006551F0">
          <w:rPr>
            <w:rStyle w:val="Hyperlink"/>
            <w:noProof/>
          </w:rPr>
          <w:t>Achieving a Balance in Consequence Assessment</w:t>
        </w:r>
        <w:r>
          <w:rPr>
            <w:noProof/>
            <w:webHidden/>
          </w:rPr>
          <w:tab/>
        </w:r>
        <w:r>
          <w:rPr>
            <w:noProof/>
            <w:webHidden/>
          </w:rPr>
          <w:fldChar w:fldCharType="begin"/>
        </w:r>
        <w:r>
          <w:rPr>
            <w:noProof/>
            <w:webHidden/>
          </w:rPr>
          <w:instrText xml:space="preserve"> PAGEREF _Toc50110453 \h </w:instrText>
        </w:r>
        <w:r>
          <w:rPr>
            <w:noProof/>
            <w:webHidden/>
          </w:rPr>
        </w:r>
        <w:r>
          <w:rPr>
            <w:noProof/>
            <w:webHidden/>
          </w:rPr>
          <w:fldChar w:fldCharType="separate"/>
        </w:r>
        <w:r>
          <w:rPr>
            <w:noProof/>
            <w:webHidden/>
          </w:rPr>
          <w:t>18</w:t>
        </w:r>
        <w:r>
          <w:rPr>
            <w:noProof/>
            <w:webHidden/>
          </w:rPr>
          <w:fldChar w:fldCharType="end"/>
        </w:r>
      </w:hyperlink>
    </w:p>
    <w:p w14:paraId="51199643" w14:textId="7765B81F"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4" w:history="1">
        <w:r w:rsidRPr="006551F0">
          <w:rPr>
            <w:rStyle w:val="Hyperlink"/>
            <w:noProof/>
          </w:rPr>
          <w:t>6.4</w:t>
        </w:r>
        <w:r>
          <w:rPr>
            <w:rFonts w:asciiTheme="minorHAnsi" w:eastAsiaTheme="minorEastAsia" w:hAnsiTheme="minorHAnsi" w:cstheme="minorBidi"/>
            <w:smallCaps w:val="0"/>
            <w:noProof/>
            <w:szCs w:val="22"/>
          </w:rPr>
          <w:tab/>
        </w:r>
        <w:r w:rsidRPr="006551F0">
          <w:rPr>
            <w:rStyle w:val="Hyperlink"/>
            <w:noProof/>
          </w:rPr>
          <w:t>Achieving a Balance in Engineering Substantiation</w:t>
        </w:r>
        <w:r>
          <w:rPr>
            <w:noProof/>
            <w:webHidden/>
          </w:rPr>
          <w:tab/>
        </w:r>
        <w:r>
          <w:rPr>
            <w:noProof/>
            <w:webHidden/>
          </w:rPr>
          <w:fldChar w:fldCharType="begin"/>
        </w:r>
        <w:r>
          <w:rPr>
            <w:noProof/>
            <w:webHidden/>
          </w:rPr>
          <w:instrText xml:space="preserve"> PAGEREF _Toc50110454 \h </w:instrText>
        </w:r>
        <w:r>
          <w:rPr>
            <w:noProof/>
            <w:webHidden/>
          </w:rPr>
        </w:r>
        <w:r>
          <w:rPr>
            <w:noProof/>
            <w:webHidden/>
          </w:rPr>
          <w:fldChar w:fldCharType="separate"/>
        </w:r>
        <w:r>
          <w:rPr>
            <w:noProof/>
            <w:webHidden/>
          </w:rPr>
          <w:t>21</w:t>
        </w:r>
        <w:r>
          <w:rPr>
            <w:noProof/>
            <w:webHidden/>
          </w:rPr>
          <w:fldChar w:fldCharType="end"/>
        </w:r>
      </w:hyperlink>
    </w:p>
    <w:p w14:paraId="5DA67728" w14:textId="1AC39094"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5" w:history="1">
        <w:r w:rsidRPr="006551F0">
          <w:rPr>
            <w:rStyle w:val="Hyperlink"/>
            <w:noProof/>
          </w:rPr>
          <w:t>6.5</w:t>
        </w:r>
        <w:r>
          <w:rPr>
            <w:rFonts w:asciiTheme="minorHAnsi" w:eastAsiaTheme="minorEastAsia" w:hAnsiTheme="minorHAnsi" w:cstheme="minorBidi"/>
            <w:smallCaps w:val="0"/>
            <w:noProof/>
            <w:szCs w:val="22"/>
          </w:rPr>
          <w:tab/>
        </w:r>
        <w:r w:rsidRPr="006551F0">
          <w:rPr>
            <w:rStyle w:val="Hyperlink"/>
            <w:noProof/>
          </w:rPr>
          <w:t>Achieving a Balance in Other Areas</w:t>
        </w:r>
        <w:r>
          <w:rPr>
            <w:noProof/>
            <w:webHidden/>
          </w:rPr>
          <w:tab/>
        </w:r>
        <w:r>
          <w:rPr>
            <w:noProof/>
            <w:webHidden/>
          </w:rPr>
          <w:fldChar w:fldCharType="begin"/>
        </w:r>
        <w:r>
          <w:rPr>
            <w:noProof/>
            <w:webHidden/>
          </w:rPr>
          <w:instrText xml:space="preserve"> PAGEREF _Toc50110455 \h </w:instrText>
        </w:r>
        <w:r>
          <w:rPr>
            <w:noProof/>
            <w:webHidden/>
          </w:rPr>
        </w:r>
        <w:r>
          <w:rPr>
            <w:noProof/>
            <w:webHidden/>
          </w:rPr>
          <w:fldChar w:fldCharType="separate"/>
        </w:r>
        <w:r>
          <w:rPr>
            <w:noProof/>
            <w:webHidden/>
          </w:rPr>
          <w:t>22</w:t>
        </w:r>
        <w:r>
          <w:rPr>
            <w:noProof/>
            <w:webHidden/>
          </w:rPr>
          <w:fldChar w:fldCharType="end"/>
        </w:r>
      </w:hyperlink>
    </w:p>
    <w:p w14:paraId="56362C2C" w14:textId="63A8D38C" w:rsidR="00A03B28" w:rsidRDefault="00A03B28">
      <w:pPr>
        <w:pStyle w:val="TOC2"/>
        <w:tabs>
          <w:tab w:val="left" w:pos="880"/>
          <w:tab w:val="right" w:leader="dot" w:pos="9628"/>
        </w:tabs>
        <w:rPr>
          <w:rFonts w:asciiTheme="minorHAnsi" w:eastAsiaTheme="minorEastAsia" w:hAnsiTheme="minorHAnsi" w:cstheme="minorBidi"/>
          <w:smallCaps w:val="0"/>
          <w:noProof/>
          <w:szCs w:val="22"/>
        </w:rPr>
      </w:pPr>
      <w:hyperlink w:anchor="_Toc50110456" w:history="1">
        <w:r w:rsidRPr="006551F0">
          <w:rPr>
            <w:rStyle w:val="Hyperlink"/>
            <w:noProof/>
          </w:rPr>
          <w:t>6.6</w:t>
        </w:r>
        <w:r>
          <w:rPr>
            <w:rFonts w:asciiTheme="minorHAnsi" w:eastAsiaTheme="minorEastAsia" w:hAnsiTheme="minorHAnsi" w:cstheme="minorBidi"/>
            <w:smallCaps w:val="0"/>
            <w:noProof/>
            <w:szCs w:val="22"/>
          </w:rPr>
          <w:tab/>
        </w:r>
        <w:r w:rsidRPr="006551F0">
          <w:rPr>
            <w:rStyle w:val="Hyperlink"/>
            <w:noProof/>
          </w:rPr>
          <w:t>Achieving an Overall Balance</w:t>
        </w:r>
        <w:r>
          <w:rPr>
            <w:noProof/>
            <w:webHidden/>
          </w:rPr>
          <w:tab/>
        </w:r>
        <w:r>
          <w:rPr>
            <w:noProof/>
            <w:webHidden/>
          </w:rPr>
          <w:fldChar w:fldCharType="begin"/>
        </w:r>
        <w:r>
          <w:rPr>
            <w:noProof/>
            <w:webHidden/>
          </w:rPr>
          <w:instrText xml:space="preserve"> PAGEREF _Toc50110456 \h </w:instrText>
        </w:r>
        <w:r>
          <w:rPr>
            <w:noProof/>
            <w:webHidden/>
          </w:rPr>
        </w:r>
        <w:r>
          <w:rPr>
            <w:noProof/>
            <w:webHidden/>
          </w:rPr>
          <w:fldChar w:fldCharType="separate"/>
        </w:r>
        <w:r>
          <w:rPr>
            <w:noProof/>
            <w:webHidden/>
          </w:rPr>
          <w:t>23</w:t>
        </w:r>
        <w:r>
          <w:rPr>
            <w:noProof/>
            <w:webHidden/>
          </w:rPr>
          <w:fldChar w:fldCharType="end"/>
        </w:r>
      </w:hyperlink>
    </w:p>
    <w:p w14:paraId="77496A60" w14:textId="4CEBEC9D" w:rsidR="00A03B28" w:rsidRDefault="00A03B28">
      <w:pPr>
        <w:pStyle w:val="TOC1"/>
        <w:rPr>
          <w:rFonts w:asciiTheme="minorHAnsi" w:eastAsiaTheme="minorEastAsia" w:hAnsiTheme="minorHAnsi" w:cstheme="minorBidi"/>
          <w:b w:val="0"/>
          <w:bCs w:val="0"/>
          <w:caps w:val="0"/>
          <w:noProof/>
          <w:sz w:val="22"/>
          <w:szCs w:val="22"/>
        </w:rPr>
      </w:pPr>
      <w:hyperlink w:anchor="_Toc50110457" w:history="1">
        <w:r w:rsidRPr="006551F0">
          <w:rPr>
            <w:rStyle w:val="Hyperlink"/>
            <w:noProof/>
            <w:w w:val="99"/>
          </w:rPr>
          <w:t>7</w:t>
        </w:r>
        <w:r>
          <w:rPr>
            <w:rFonts w:asciiTheme="minorHAnsi" w:eastAsiaTheme="minorEastAsia" w:hAnsiTheme="minorHAnsi" w:cstheme="minorBidi"/>
            <w:b w:val="0"/>
            <w:bCs w:val="0"/>
            <w:caps w:val="0"/>
            <w:noProof/>
            <w:sz w:val="22"/>
            <w:szCs w:val="22"/>
          </w:rPr>
          <w:tab/>
        </w:r>
        <w:r w:rsidRPr="006551F0">
          <w:rPr>
            <w:rStyle w:val="Hyperlink"/>
            <w:noProof/>
          </w:rPr>
          <w:t>Summary of Key Points</w:t>
        </w:r>
        <w:r>
          <w:rPr>
            <w:noProof/>
            <w:webHidden/>
          </w:rPr>
          <w:tab/>
        </w:r>
        <w:r>
          <w:rPr>
            <w:noProof/>
            <w:webHidden/>
          </w:rPr>
          <w:fldChar w:fldCharType="begin"/>
        </w:r>
        <w:r>
          <w:rPr>
            <w:noProof/>
            <w:webHidden/>
          </w:rPr>
          <w:instrText xml:space="preserve"> PAGEREF _Toc50110457 \h </w:instrText>
        </w:r>
        <w:r>
          <w:rPr>
            <w:noProof/>
            <w:webHidden/>
          </w:rPr>
        </w:r>
        <w:r>
          <w:rPr>
            <w:noProof/>
            <w:webHidden/>
          </w:rPr>
          <w:fldChar w:fldCharType="separate"/>
        </w:r>
        <w:r>
          <w:rPr>
            <w:noProof/>
            <w:webHidden/>
          </w:rPr>
          <w:t>24</w:t>
        </w:r>
        <w:r>
          <w:rPr>
            <w:noProof/>
            <w:webHidden/>
          </w:rPr>
          <w:fldChar w:fldCharType="end"/>
        </w:r>
      </w:hyperlink>
    </w:p>
    <w:p w14:paraId="5682CF46" w14:textId="540BC4FF" w:rsidR="00A03B28" w:rsidRDefault="00A03B28">
      <w:pPr>
        <w:pStyle w:val="TOC1"/>
        <w:rPr>
          <w:rFonts w:asciiTheme="minorHAnsi" w:eastAsiaTheme="minorEastAsia" w:hAnsiTheme="minorHAnsi" w:cstheme="minorBidi"/>
          <w:b w:val="0"/>
          <w:bCs w:val="0"/>
          <w:caps w:val="0"/>
          <w:noProof/>
          <w:sz w:val="22"/>
          <w:szCs w:val="22"/>
        </w:rPr>
      </w:pPr>
      <w:hyperlink w:anchor="_Toc50110458" w:history="1">
        <w:r w:rsidRPr="006551F0">
          <w:rPr>
            <w:rStyle w:val="Hyperlink"/>
            <w:noProof/>
            <w:w w:val="99"/>
          </w:rPr>
          <w:t>8</w:t>
        </w:r>
        <w:r>
          <w:rPr>
            <w:rFonts w:asciiTheme="minorHAnsi" w:eastAsiaTheme="minorEastAsia" w:hAnsiTheme="minorHAnsi" w:cstheme="minorBidi"/>
            <w:b w:val="0"/>
            <w:bCs w:val="0"/>
            <w:caps w:val="0"/>
            <w:noProof/>
            <w:sz w:val="22"/>
            <w:szCs w:val="22"/>
          </w:rPr>
          <w:tab/>
        </w:r>
        <w:r w:rsidRPr="006551F0">
          <w:rPr>
            <w:rStyle w:val="Hyperlink"/>
            <w:noProof/>
          </w:rPr>
          <w:t>References</w:t>
        </w:r>
        <w:r>
          <w:rPr>
            <w:noProof/>
            <w:webHidden/>
          </w:rPr>
          <w:tab/>
        </w:r>
        <w:r>
          <w:rPr>
            <w:noProof/>
            <w:webHidden/>
          </w:rPr>
          <w:fldChar w:fldCharType="begin"/>
        </w:r>
        <w:r>
          <w:rPr>
            <w:noProof/>
            <w:webHidden/>
          </w:rPr>
          <w:instrText xml:space="preserve"> PAGEREF _Toc50110458 \h </w:instrText>
        </w:r>
        <w:r>
          <w:rPr>
            <w:noProof/>
            <w:webHidden/>
          </w:rPr>
        </w:r>
        <w:r>
          <w:rPr>
            <w:noProof/>
            <w:webHidden/>
          </w:rPr>
          <w:fldChar w:fldCharType="separate"/>
        </w:r>
        <w:r>
          <w:rPr>
            <w:noProof/>
            <w:webHidden/>
          </w:rPr>
          <w:t>25</w:t>
        </w:r>
        <w:r>
          <w:rPr>
            <w:noProof/>
            <w:webHidden/>
          </w:rPr>
          <w:fldChar w:fldCharType="end"/>
        </w:r>
      </w:hyperlink>
    </w:p>
    <w:p w14:paraId="73568792" w14:textId="4A3B1BB1" w:rsidR="00A03B28" w:rsidRDefault="00A03B28">
      <w:pPr>
        <w:pStyle w:val="TOC1"/>
        <w:tabs>
          <w:tab w:val="left" w:pos="1767"/>
        </w:tabs>
        <w:rPr>
          <w:rFonts w:asciiTheme="minorHAnsi" w:eastAsiaTheme="minorEastAsia" w:hAnsiTheme="minorHAnsi" w:cstheme="minorBidi"/>
          <w:b w:val="0"/>
          <w:bCs w:val="0"/>
          <w:caps w:val="0"/>
          <w:noProof/>
          <w:sz w:val="22"/>
          <w:szCs w:val="22"/>
        </w:rPr>
      </w:pPr>
      <w:hyperlink w:anchor="_Toc50110459" w:history="1">
        <w:r w:rsidRPr="006551F0">
          <w:rPr>
            <w:rStyle w:val="Hyperlink"/>
            <w:noProof/>
          </w:rPr>
          <w:t>Appendix A:</w:t>
        </w:r>
        <w:r>
          <w:rPr>
            <w:rFonts w:asciiTheme="minorHAnsi" w:eastAsiaTheme="minorEastAsia" w:hAnsiTheme="minorHAnsi" w:cstheme="minorBidi"/>
            <w:b w:val="0"/>
            <w:bCs w:val="0"/>
            <w:caps w:val="0"/>
            <w:noProof/>
            <w:sz w:val="22"/>
            <w:szCs w:val="22"/>
          </w:rPr>
          <w:tab/>
        </w:r>
        <w:r w:rsidRPr="006551F0">
          <w:rPr>
            <w:rStyle w:val="Hyperlink"/>
            <w:noProof/>
          </w:rPr>
          <w:t>Statistical Uncertainties</w:t>
        </w:r>
        <w:r>
          <w:rPr>
            <w:noProof/>
            <w:webHidden/>
          </w:rPr>
          <w:tab/>
        </w:r>
        <w:r>
          <w:rPr>
            <w:noProof/>
            <w:webHidden/>
          </w:rPr>
          <w:fldChar w:fldCharType="begin"/>
        </w:r>
        <w:r>
          <w:rPr>
            <w:noProof/>
            <w:webHidden/>
          </w:rPr>
          <w:instrText xml:space="preserve"> PAGEREF _Toc50110459 \h </w:instrText>
        </w:r>
        <w:r>
          <w:rPr>
            <w:noProof/>
            <w:webHidden/>
          </w:rPr>
        </w:r>
        <w:r>
          <w:rPr>
            <w:noProof/>
            <w:webHidden/>
          </w:rPr>
          <w:fldChar w:fldCharType="separate"/>
        </w:r>
        <w:r>
          <w:rPr>
            <w:noProof/>
            <w:webHidden/>
          </w:rPr>
          <w:t>26</w:t>
        </w:r>
        <w:r>
          <w:rPr>
            <w:noProof/>
            <w:webHidden/>
          </w:rPr>
          <w:fldChar w:fldCharType="end"/>
        </w:r>
      </w:hyperlink>
    </w:p>
    <w:p w14:paraId="5A83505D" w14:textId="599BCF65" w:rsidR="00F64686" w:rsidRDefault="00F64686" w:rsidP="00F64686">
      <w:r>
        <w:rPr>
          <w:rFonts w:ascii="Arial Bold" w:eastAsia="Times New Roman" w:hAnsi="Arial Bold" w:cstheme="minorHAnsi"/>
          <w:i/>
          <w:iCs/>
          <w:caps/>
          <w:sz w:val="20"/>
          <w:szCs w:val="20"/>
          <w:lang w:val="en-GB" w:eastAsia="en-GB"/>
        </w:rPr>
        <w:fldChar w:fldCharType="end"/>
      </w:r>
    </w:p>
    <w:p w14:paraId="7AAEE7C8" w14:textId="77777777" w:rsidR="00F64686" w:rsidRDefault="00F64686" w:rsidP="00F64686">
      <w:pPr>
        <w:sectPr w:rsidR="00F64686" w:rsidSect="00372E1A">
          <w:pgSz w:w="11906" w:h="16838" w:code="9"/>
          <w:pgMar w:top="1418" w:right="1134" w:bottom="1418" w:left="1134" w:header="709" w:footer="709" w:gutter="0"/>
          <w:cols w:space="708"/>
          <w:titlePg/>
          <w:docGrid w:linePitch="360"/>
        </w:sectPr>
      </w:pPr>
    </w:p>
    <w:p w14:paraId="22FEE85B" w14:textId="77777777" w:rsidR="00F64686" w:rsidRDefault="00F64686" w:rsidP="00F64686"/>
    <w:p w14:paraId="3685C670" w14:textId="77777777" w:rsidR="00CF796F" w:rsidRDefault="0087786B" w:rsidP="00826413">
      <w:pPr>
        <w:pStyle w:val="Heading1"/>
      </w:pPr>
      <w:bookmarkStart w:id="15" w:name="_Toc50110440"/>
      <w:r>
        <w:t>Introduction</w:t>
      </w:r>
      <w:bookmarkEnd w:id="15"/>
    </w:p>
    <w:p w14:paraId="451A9420" w14:textId="77777777" w:rsidR="00ED6A1B" w:rsidRDefault="000F20E3" w:rsidP="00CF0294">
      <w:pPr>
        <w:pStyle w:val="Heading2"/>
      </w:pPr>
      <w:bookmarkStart w:id="16" w:name="_Toc50110441"/>
      <w:r>
        <w:t>1.1</w:t>
      </w:r>
      <w:r>
        <w:tab/>
      </w:r>
      <w:r w:rsidR="00ED6A1B">
        <w:t>Purpose</w:t>
      </w:r>
      <w:bookmarkEnd w:id="16"/>
    </w:p>
    <w:p w14:paraId="27B15682" w14:textId="5479DA0D" w:rsidR="00CF796F" w:rsidRPr="00A6296E" w:rsidRDefault="0087786B" w:rsidP="00A6296E">
      <w:pPr>
        <w:pStyle w:val="ListParagraph"/>
        <w:widowControl/>
        <w:autoSpaceDE/>
        <w:autoSpaceDN/>
        <w:spacing w:before="120" w:after="120"/>
        <w:ind w:left="851" w:firstLine="0"/>
        <w:rPr>
          <w:rFonts w:eastAsia="Times New Roman"/>
          <w:lang w:val="en-GB" w:eastAsia="en-GB"/>
        </w:rPr>
      </w:pPr>
      <w:r w:rsidRPr="00A6296E">
        <w:rPr>
          <w:rFonts w:eastAsia="Times New Roman"/>
          <w:lang w:val="en-GB" w:eastAsia="en-GB"/>
        </w:rPr>
        <w:t xml:space="preserve">The </w:t>
      </w:r>
      <w:r w:rsidR="00A6296E">
        <w:rPr>
          <w:rFonts w:eastAsia="Times New Roman"/>
          <w:lang w:val="en-GB" w:eastAsia="en-GB"/>
        </w:rPr>
        <w:t xml:space="preserve">first </w:t>
      </w:r>
      <w:r w:rsidRPr="00A6296E">
        <w:rPr>
          <w:rFonts w:eastAsia="Times New Roman"/>
          <w:lang w:val="en-GB" w:eastAsia="en-GB"/>
        </w:rPr>
        <w:t>purpose of this Guide is to help safety case practitioners be aware of conservatism, including under-conservatism and over-conservatism, and the potential effects of getting the level of conservatism wrong.</w:t>
      </w:r>
    </w:p>
    <w:p w14:paraId="59508C9F" w14:textId="77777777" w:rsidR="00CF796F" w:rsidRPr="00A6296E" w:rsidRDefault="0087786B" w:rsidP="00A6296E">
      <w:pPr>
        <w:pStyle w:val="ListParagraph"/>
        <w:widowControl/>
        <w:autoSpaceDE/>
        <w:autoSpaceDN/>
        <w:spacing w:before="120" w:after="120"/>
        <w:ind w:left="851" w:firstLine="0"/>
        <w:rPr>
          <w:rFonts w:eastAsia="Times New Roman"/>
          <w:lang w:val="en-GB" w:eastAsia="en-GB"/>
        </w:rPr>
      </w:pPr>
      <w:r w:rsidRPr="00A6296E">
        <w:rPr>
          <w:rFonts w:eastAsia="Times New Roman"/>
          <w:lang w:val="en-GB" w:eastAsia="en-GB"/>
        </w:rPr>
        <w:t>The second purpose, which builds on the first purpose, is to help safety case practitioners use conservatism when it is required and to achieve a balance between under-conservatism and over-conservatism.</w:t>
      </w:r>
      <w:r w:rsidR="00A6296E">
        <w:rPr>
          <w:rFonts w:eastAsia="Times New Roman"/>
          <w:lang w:val="en-GB" w:eastAsia="en-GB"/>
        </w:rPr>
        <w:t xml:space="preserve"> </w:t>
      </w:r>
      <w:r w:rsidRPr="00A6296E">
        <w:rPr>
          <w:rFonts w:eastAsia="Times New Roman"/>
          <w:lang w:val="en-GB" w:eastAsia="en-GB"/>
        </w:rPr>
        <w:t xml:space="preserve"> The guidance should also help other people involved with safety cases, e.g. those who check or review safety cases.</w:t>
      </w:r>
    </w:p>
    <w:p w14:paraId="022F8FF9" w14:textId="77777777" w:rsidR="00CF796F" w:rsidRPr="002C44A7" w:rsidRDefault="000F20E3" w:rsidP="00CF0294">
      <w:pPr>
        <w:pStyle w:val="Heading2"/>
      </w:pPr>
      <w:bookmarkStart w:id="17" w:name="_Toc50110442"/>
      <w:r>
        <w:t>1.2</w:t>
      </w:r>
      <w:r>
        <w:tab/>
      </w:r>
      <w:r w:rsidR="0087786B" w:rsidRPr="002C44A7">
        <w:t>Scope</w:t>
      </w:r>
      <w:bookmarkEnd w:id="17"/>
    </w:p>
    <w:p w14:paraId="75B2FF9F" w14:textId="77777777" w:rsidR="00535883" w:rsidRDefault="0087786B" w:rsidP="00535883">
      <w:pPr>
        <w:pStyle w:val="ListParagraph"/>
        <w:widowControl/>
        <w:autoSpaceDE/>
        <w:autoSpaceDN/>
        <w:spacing w:before="120" w:after="120"/>
        <w:ind w:left="851" w:firstLine="0"/>
        <w:rPr>
          <w:rFonts w:eastAsia="Times New Roman"/>
          <w:lang w:val="en-GB" w:eastAsia="en-GB"/>
        </w:rPr>
      </w:pPr>
      <w:r w:rsidRPr="00535883">
        <w:rPr>
          <w:rFonts w:eastAsia="Times New Roman"/>
          <w:lang w:val="en-GB" w:eastAsia="en-GB"/>
        </w:rPr>
        <w:t xml:space="preserve">The scope </w:t>
      </w:r>
      <w:r w:rsidR="00535883">
        <w:rPr>
          <w:rFonts w:eastAsia="Times New Roman"/>
          <w:lang w:val="en-GB" w:eastAsia="en-GB"/>
        </w:rPr>
        <w:t xml:space="preserve">of this Guide </w:t>
      </w:r>
      <w:r w:rsidRPr="00535883">
        <w:rPr>
          <w:rFonts w:eastAsia="Times New Roman"/>
          <w:lang w:val="en-GB" w:eastAsia="en-GB"/>
        </w:rPr>
        <w:t xml:space="preserve">focuses on Design Basis Analysis (DBA), including safety assessment and engineering substantiation. </w:t>
      </w:r>
      <w:r w:rsidR="00535883">
        <w:rPr>
          <w:rFonts w:eastAsia="Times New Roman"/>
          <w:lang w:val="en-GB" w:eastAsia="en-GB"/>
        </w:rPr>
        <w:t xml:space="preserve"> </w:t>
      </w:r>
      <w:r w:rsidRPr="00535883">
        <w:rPr>
          <w:rFonts w:eastAsia="Times New Roman"/>
          <w:lang w:val="en-GB" w:eastAsia="en-GB"/>
        </w:rPr>
        <w:t xml:space="preserve">Conservatism is not required for </w:t>
      </w:r>
      <w:r w:rsidR="00535883">
        <w:rPr>
          <w:rFonts w:eastAsia="Times New Roman"/>
          <w:lang w:val="en-GB" w:eastAsia="en-GB"/>
        </w:rPr>
        <w:t>P</w:t>
      </w:r>
      <w:r w:rsidRPr="00535883">
        <w:rPr>
          <w:rFonts w:eastAsia="Times New Roman"/>
          <w:lang w:val="en-GB" w:eastAsia="en-GB"/>
        </w:rPr>
        <w:t xml:space="preserve">robabilistic </w:t>
      </w:r>
      <w:r w:rsidR="00535883">
        <w:rPr>
          <w:rFonts w:eastAsia="Times New Roman"/>
          <w:lang w:val="en-GB" w:eastAsia="en-GB"/>
        </w:rPr>
        <w:t>S</w:t>
      </w:r>
      <w:r w:rsidRPr="00535883">
        <w:rPr>
          <w:rFonts w:eastAsia="Times New Roman"/>
          <w:lang w:val="en-GB" w:eastAsia="en-GB"/>
        </w:rPr>
        <w:t xml:space="preserve">afety </w:t>
      </w:r>
      <w:r w:rsidR="00535883">
        <w:rPr>
          <w:rFonts w:eastAsia="Times New Roman"/>
          <w:lang w:val="en-GB" w:eastAsia="en-GB"/>
        </w:rPr>
        <w:t>A</w:t>
      </w:r>
      <w:r w:rsidRPr="00535883">
        <w:rPr>
          <w:rFonts w:eastAsia="Times New Roman"/>
          <w:lang w:val="en-GB" w:eastAsia="en-GB"/>
        </w:rPr>
        <w:t xml:space="preserve">nalysis (PSA) or for </w:t>
      </w:r>
      <w:r w:rsidR="00535883">
        <w:rPr>
          <w:rFonts w:eastAsia="Times New Roman"/>
          <w:lang w:val="en-GB" w:eastAsia="en-GB"/>
        </w:rPr>
        <w:t>S</w:t>
      </w:r>
      <w:r w:rsidRPr="00535883">
        <w:rPr>
          <w:rFonts w:eastAsia="Times New Roman"/>
          <w:lang w:val="en-GB" w:eastAsia="en-GB"/>
        </w:rPr>
        <w:t xml:space="preserve">evere </w:t>
      </w:r>
      <w:r w:rsidR="00535883">
        <w:rPr>
          <w:rFonts w:eastAsia="Times New Roman"/>
          <w:lang w:val="en-GB" w:eastAsia="en-GB"/>
        </w:rPr>
        <w:t>A</w:t>
      </w:r>
      <w:r w:rsidRPr="00535883">
        <w:rPr>
          <w:rFonts w:eastAsia="Times New Roman"/>
          <w:lang w:val="en-GB" w:eastAsia="en-GB"/>
        </w:rPr>
        <w:t xml:space="preserve">ccident </w:t>
      </w:r>
      <w:r w:rsidR="00535883">
        <w:rPr>
          <w:rFonts w:eastAsia="Times New Roman"/>
          <w:lang w:val="en-GB" w:eastAsia="en-GB"/>
        </w:rPr>
        <w:t>A</w:t>
      </w:r>
      <w:r w:rsidRPr="00535883">
        <w:rPr>
          <w:rFonts w:eastAsia="Times New Roman"/>
          <w:lang w:val="en-GB" w:eastAsia="en-GB"/>
        </w:rPr>
        <w:t xml:space="preserve">nalysis (SAA) which should normally use best-estimate approaches. </w:t>
      </w:r>
      <w:r w:rsidR="00535883">
        <w:rPr>
          <w:rFonts w:eastAsia="Times New Roman"/>
          <w:lang w:val="en-GB" w:eastAsia="en-GB"/>
        </w:rPr>
        <w:t xml:space="preserve"> </w:t>
      </w:r>
      <w:r w:rsidRPr="00535883">
        <w:rPr>
          <w:rFonts w:eastAsia="Times New Roman"/>
          <w:lang w:val="en-GB" w:eastAsia="en-GB"/>
        </w:rPr>
        <w:t>However, conservatism does get used in PSA and SAA (sometimes inappropriately) and this is included in the scope.</w:t>
      </w:r>
      <w:r w:rsidR="00535883">
        <w:rPr>
          <w:rFonts w:eastAsia="Times New Roman"/>
          <w:lang w:val="en-GB" w:eastAsia="en-GB"/>
        </w:rPr>
        <w:t xml:space="preserve"> </w:t>
      </w:r>
      <w:r w:rsidRPr="00535883">
        <w:rPr>
          <w:rFonts w:eastAsia="Times New Roman"/>
          <w:lang w:val="en-GB" w:eastAsia="en-GB"/>
        </w:rPr>
        <w:t xml:space="preserve"> In addition, the effect of conservatism on design and on normal </w:t>
      </w:r>
      <w:r w:rsidR="00535883">
        <w:rPr>
          <w:rFonts w:eastAsia="Times New Roman"/>
          <w:lang w:val="en-GB" w:eastAsia="en-GB"/>
        </w:rPr>
        <w:t xml:space="preserve">radiological </w:t>
      </w:r>
      <w:r w:rsidRPr="00535883">
        <w:rPr>
          <w:rFonts w:eastAsia="Times New Roman"/>
          <w:lang w:val="en-GB" w:eastAsia="en-GB"/>
        </w:rPr>
        <w:t>doses is included.</w:t>
      </w:r>
    </w:p>
    <w:p w14:paraId="6F05717E" w14:textId="77777777" w:rsidR="00CF796F" w:rsidRPr="00535883" w:rsidRDefault="0087786B" w:rsidP="00535883">
      <w:pPr>
        <w:pStyle w:val="ListParagraph"/>
        <w:widowControl/>
        <w:autoSpaceDE/>
        <w:autoSpaceDN/>
        <w:spacing w:before="120" w:after="120"/>
        <w:ind w:left="851" w:firstLine="0"/>
        <w:rPr>
          <w:rFonts w:eastAsia="Times New Roman"/>
          <w:lang w:val="en-GB" w:eastAsia="en-GB"/>
        </w:rPr>
      </w:pPr>
      <w:r w:rsidRPr="00535883">
        <w:rPr>
          <w:rFonts w:eastAsia="Times New Roman"/>
          <w:lang w:val="en-GB" w:eastAsia="en-GB"/>
        </w:rPr>
        <w:t xml:space="preserve">DBA, PSA and SAA as safety assessment techniques are </w:t>
      </w:r>
      <w:r w:rsidR="00535883">
        <w:rPr>
          <w:rFonts w:eastAsia="Times New Roman"/>
          <w:lang w:val="en-GB" w:eastAsia="en-GB"/>
        </w:rPr>
        <w:t xml:space="preserve">outside the scope and therefore </w:t>
      </w:r>
      <w:r w:rsidRPr="00535883">
        <w:rPr>
          <w:rFonts w:eastAsia="Times New Roman"/>
          <w:lang w:val="en-GB" w:eastAsia="en-GB"/>
        </w:rPr>
        <w:t>excluded from this Guide.</w:t>
      </w:r>
    </w:p>
    <w:p w14:paraId="3EDFF3EC" w14:textId="77777777" w:rsidR="00CF796F" w:rsidRPr="00535883" w:rsidRDefault="0087786B" w:rsidP="00535883">
      <w:pPr>
        <w:pStyle w:val="ListParagraph"/>
        <w:widowControl/>
        <w:autoSpaceDE/>
        <w:autoSpaceDN/>
        <w:spacing w:before="120" w:after="120"/>
        <w:ind w:left="851" w:firstLine="0"/>
        <w:rPr>
          <w:rFonts w:eastAsia="Times New Roman"/>
          <w:lang w:val="en-GB" w:eastAsia="en-GB"/>
        </w:rPr>
      </w:pPr>
      <w:r w:rsidRPr="00535883">
        <w:rPr>
          <w:rFonts w:eastAsia="Times New Roman"/>
          <w:lang w:val="en-GB" w:eastAsia="en-GB"/>
        </w:rPr>
        <w:t xml:space="preserve">The scope of the guide includes some statistical analysis relating to log-normal distributions. </w:t>
      </w:r>
      <w:r w:rsidR="00535883">
        <w:rPr>
          <w:rFonts w:eastAsia="Times New Roman"/>
          <w:lang w:val="en-GB" w:eastAsia="en-GB"/>
        </w:rPr>
        <w:t xml:space="preserve"> </w:t>
      </w:r>
      <w:r w:rsidRPr="00535883">
        <w:rPr>
          <w:rFonts w:eastAsia="Times New Roman"/>
          <w:lang w:val="en-GB" w:eastAsia="en-GB"/>
        </w:rPr>
        <w:t>The conclusions from this analysis are clear in the Guide, so it is not necessary to be a statistician in order to understand the key points of th</w:t>
      </w:r>
      <w:r w:rsidR="00535883">
        <w:rPr>
          <w:rFonts w:eastAsia="Times New Roman"/>
          <w:lang w:val="en-GB" w:eastAsia="en-GB"/>
        </w:rPr>
        <w:t>is</w:t>
      </w:r>
      <w:r w:rsidRPr="00535883">
        <w:rPr>
          <w:rFonts w:eastAsia="Times New Roman"/>
          <w:lang w:val="en-GB" w:eastAsia="en-GB"/>
        </w:rPr>
        <w:t xml:space="preserve"> Guide.</w:t>
      </w:r>
    </w:p>
    <w:p w14:paraId="309D7608" w14:textId="77777777" w:rsidR="00CF796F" w:rsidRPr="00535883" w:rsidRDefault="0087786B" w:rsidP="00535883">
      <w:pPr>
        <w:pStyle w:val="ListParagraph"/>
        <w:widowControl/>
        <w:autoSpaceDE/>
        <w:autoSpaceDN/>
        <w:spacing w:before="120" w:after="120"/>
        <w:ind w:left="851" w:firstLine="0"/>
        <w:rPr>
          <w:rFonts w:eastAsia="Times New Roman"/>
          <w:lang w:val="en-GB" w:eastAsia="en-GB"/>
        </w:rPr>
      </w:pPr>
      <w:r w:rsidRPr="00535883">
        <w:rPr>
          <w:rFonts w:eastAsia="Times New Roman"/>
          <w:lang w:val="en-GB" w:eastAsia="en-GB"/>
        </w:rPr>
        <w:t>The examples throughout this Guide are based on real examples in the nuclear industry.</w:t>
      </w:r>
      <w:r w:rsidR="00535883">
        <w:rPr>
          <w:rFonts w:eastAsia="Times New Roman"/>
          <w:lang w:val="en-GB" w:eastAsia="en-GB"/>
        </w:rPr>
        <w:t xml:space="preserve"> </w:t>
      </w:r>
      <w:r w:rsidRPr="00535883">
        <w:rPr>
          <w:rFonts w:eastAsia="Times New Roman"/>
          <w:lang w:val="en-GB" w:eastAsia="en-GB"/>
        </w:rPr>
        <w:t xml:space="preserve"> There are more examples of over-conservatism than under-conservatism in this Guide, mainly because </w:t>
      </w:r>
      <w:r w:rsidR="00535883">
        <w:rPr>
          <w:rFonts w:eastAsia="Times New Roman"/>
          <w:lang w:val="en-GB" w:eastAsia="en-GB"/>
        </w:rPr>
        <w:t xml:space="preserve">there is </w:t>
      </w:r>
      <w:r w:rsidRPr="00535883">
        <w:rPr>
          <w:rFonts w:eastAsia="Times New Roman"/>
          <w:lang w:val="en-GB" w:eastAsia="en-GB"/>
        </w:rPr>
        <w:t>a</w:t>
      </w:r>
      <w:r w:rsidR="00535883">
        <w:rPr>
          <w:rFonts w:eastAsia="Times New Roman"/>
          <w:lang w:val="en-GB" w:eastAsia="en-GB"/>
        </w:rPr>
        <w:t xml:space="preserve">n apparent </w:t>
      </w:r>
      <w:r w:rsidRPr="00535883">
        <w:rPr>
          <w:rFonts w:eastAsia="Times New Roman"/>
          <w:lang w:val="en-GB" w:eastAsia="en-GB"/>
        </w:rPr>
        <w:t>tendency to over-conservatism in many safety cases. However, examples of under-conservatism are also given and general advice includes both over-conservatism and under-conservatism.</w:t>
      </w:r>
    </w:p>
    <w:p w14:paraId="23C5EDD2" w14:textId="65BE6256" w:rsidR="00CF796F" w:rsidRPr="00535883" w:rsidRDefault="0087786B" w:rsidP="00535883">
      <w:pPr>
        <w:pStyle w:val="ListParagraph"/>
        <w:widowControl/>
        <w:autoSpaceDE/>
        <w:autoSpaceDN/>
        <w:spacing w:before="120" w:after="120"/>
        <w:ind w:left="851" w:firstLine="0"/>
        <w:rPr>
          <w:rFonts w:eastAsia="Times New Roman"/>
          <w:lang w:val="en-GB" w:eastAsia="en-GB"/>
        </w:rPr>
      </w:pPr>
      <w:r w:rsidRPr="00535883">
        <w:rPr>
          <w:rFonts w:eastAsia="Times New Roman"/>
          <w:lang w:val="en-GB" w:eastAsia="en-GB"/>
        </w:rPr>
        <w:t xml:space="preserve">An alternative to using a conservative approach is to use ‘Best Estimate Plus Uncertainty’ (BEPU). </w:t>
      </w:r>
      <w:r w:rsidR="00535883">
        <w:rPr>
          <w:rFonts w:eastAsia="Times New Roman"/>
          <w:lang w:val="en-GB" w:eastAsia="en-GB"/>
        </w:rPr>
        <w:t xml:space="preserve"> </w:t>
      </w:r>
      <w:r w:rsidRPr="00535883">
        <w:rPr>
          <w:rFonts w:eastAsia="Times New Roman"/>
          <w:lang w:val="en-GB" w:eastAsia="en-GB"/>
        </w:rPr>
        <w:t xml:space="preserve">This is described for nuclear power </w:t>
      </w:r>
      <w:r w:rsidRPr="00826413">
        <w:rPr>
          <w:rFonts w:eastAsia="Times New Roman"/>
          <w:color w:val="000000" w:themeColor="text1"/>
          <w:lang w:val="en-GB" w:eastAsia="en-GB"/>
        </w:rPr>
        <w:t xml:space="preserve">plants in 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_Ref50109662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3</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w:t>
      </w:r>
      <w:r w:rsidR="00535883" w:rsidRPr="00826413">
        <w:rPr>
          <w:rFonts w:eastAsia="Times New Roman"/>
          <w:color w:val="000000" w:themeColor="text1"/>
          <w:lang w:val="en-GB" w:eastAsia="en-GB"/>
        </w:rPr>
        <w:t xml:space="preserve"> </w:t>
      </w:r>
      <w:r w:rsidRPr="00826413">
        <w:rPr>
          <w:rFonts w:eastAsia="Times New Roman"/>
          <w:color w:val="000000" w:themeColor="text1"/>
          <w:lang w:val="en-GB" w:eastAsia="en-GB"/>
        </w:rPr>
        <w:t xml:space="preserve">It is </w:t>
      </w:r>
      <w:r w:rsidRPr="00535883">
        <w:rPr>
          <w:rFonts w:eastAsia="Times New Roman"/>
          <w:lang w:val="en-GB" w:eastAsia="en-GB"/>
        </w:rPr>
        <w:t>not specifically included in this Guide, although some BEPU-related concepts are included.</w:t>
      </w:r>
    </w:p>
    <w:p w14:paraId="7B414DC1" w14:textId="77777777" w:rsidR="002C44A7" w:rsidRDefault="002C44A7">
      <w:pPr>
        <w:rPr>
          <w:rFonts w:eastAsia="Times New Roman"/>
          <w:lang w:val="en-GB" w:eastAsia="en-GB"/>
        </w:rPr>
      </w:pPr>
      <w:r>
        <w:rPr>
          <w:rFonts w:eastAsia="Times New Roman"/>
          <w:lang w:val="en-GB" w:eastAsia="en-GB"/>
        </w:rPr>
        <w:br w:type="page"/>
      </w:r>
    </w:p>
    <w:p w14:paraId="1350D55C" w14:textId="77777777" w:rsidR="00CF796F" w:rsidRDefault="0087786B" w:rsidP="00826413">
      <w:pPr>
        <w:pStyle w:val="Heading1"/>
      </w:pPr>
      <w:bookmarkStart w:id="18" w:name="_Toc50110443"/>
      <w:r>
        <w:lastRenderedPageBreak/>
        <w:t>Terminology/Key Concepts</w:t>
      </w:r>
      <w:bookmarkEnd w:id="18"/>
    </w:p>
    <w:p w14:paraId="1F15E1CC" w14:textId="77777777" w:rsidR="00CF796F" w:rsidRDefault="00FC335A" w:rsidP="00CF0294">
      <w:pPr>
        <w:pStyle w:val="Heading2"/>
      </w:pPr>
      <w:bookmarkStart w:id="19" w:name="_Toc50110444"/>
      <w:r>
        <w:t>2.1</w:t>
      </w:r>
      <w:r>
        <w:tab/>
      </w:r>
      <w:r w:rsidR="0087786B">
        <w:t>Conservatism</w:t>
      </w:r>
      <w:bookmarkEnd w:id="19"/>
    </w:p>
    <w:p w14:paraId="25840B81"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In safety analysis, conservatism is an approach where the use of models, data and assumptions would be expected to lead to a result that bounds the best-estimate (where known) on the safe side. For example, the conservatively assessed dose to a worker in a fault scenario may be 60 mSv, while for the same scenario the best- estimate dose may be 15 mSv.</w:t>
      </w:r>
    </w:p>
    <w:p w14:paraId="55BA16C6"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The above definition (taken from Reference 1) assumes that ‘best-estimate’ is well understood. In fact, it is not clear whether it means:</w:t>
      </w:r>
    </w:p>
    <w:p w14:paraId="5F088BA2" w14:textId="77777777" w:rsidR="00CF796F" w:rsidRPr="00242606" w:rsidRDefault="0087786B" w:rsidP="00242606">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242606">
        <w:rPr>
          <w:rFonts w:eastAsia="Times New Roman" w:cs="Times New Roman"/>
          <w:lang w:val="en-GB" w:eastAsia="en-GB"/>
        </w:rPr>
        <w:t xml:space="preserve">the </w:t>
      </w:r>
      <w:r w:rsidRPr="00242606">
        <w:rPr>
          <w:rFonts w:eastAsia="Times New Roman" w:cs="Times New Roman"/>
          <w:b/>
          <w:bCs/>
          <w:lang w:val="en-GB" w:eastAsia="en-GB"/>
        </w:rPr>
        <w:t>mean</w:t>
      </w:r>
      <w:r w:rsidRPr="00242606">
        <w:rPr>
          <w:rFonts w:eastAsia="Times New Roman" w:cs="Times New Roman"/>
          <w:lang w:val="en-GB" w:eastAsia="en-GB"/>
        </w:rPr>
        <w:t>, i.e. the arithmetic mean (the sum of the values divided by the number of values), not the geometric mean;</w:t>
      </w:r>
    </w:p>
    <w:p w14:paraId="65E1C0A8" w14:textId="77777777" w:rsidR="00CF796F" w:rsidRPr="00242606" w:rsidRDefault="0087786B" w:rsidP="00242606">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242606">
        <w:rPr>
          <w:rFonts w:eastAsia="Times New Roman" w:cs="Times New Roman"/>
          <w:lang w:val="en-GB" w:eastAsia="en-GB"/>
        </w:rPr>
        <w:t xml:space="preserve">the </w:t>
      </w:r>
      <w:r w:rsidRPr="00242606">
        <w:rPr>
          <w:rFonts w:eastAsia="Times New Roman" w:cs="Times New Roman"/>
          <w:b/>
          <w:bCs/>
          <w:lang w:val="en-GB" w:eastAsia="en-GB"/>
        </w:rPr>
        <w:t>median</w:t>
      </w:r>
      <w:r w:rsidRPr="00242606">
        <w:rPr>
          <w:rFonts w:eastAsia="Times New Roman" w:cs="Times New Roman"/>
          <w:lang w:val="en-GB" w:eastAsia="en-GB"/>
        </w:rPr>
        <w:t xml:space="preserve"> (the numerical value separating the higher half of a data sample, a population, or a probability distribution, from the lower half); or</w:t>
      </w:r>
      <w:r w:rsidR="00242606">
        <w:rPr>
          <w:rFonts w:eastAsia="Times New Roman" w:cs="Times New Roman"/>
          <w:lang w:val="en-GB" w:eastAsia="en-GB"/>
        </w:rPr>
        <w:t>,</w:t>
      </w:r>
    </w:p>
    <w:p w14:paraId="20A8E212" w14:textId="77777777" w:rsidR="00CF796F" w:rsidRDefault="0087786B" w:rsidP="00242606">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242606">
        <w:rPr>
          <w:rFonts w:eastAsia="Times New Roman" w:cs="Times New Roman"/>
          <w:lang w:val="en-GB" w:eastAsia="en-GB"/>
        </w:rPr>
        <w:t xml:space="preserve">the </w:t>
      </w:r>
      <w:r w:rsidRPr="00242606">
        <w:rPr>
          <w:rFonts w:eastAsia="Times New Roman" w:cs="Times New Roman"/>
          <w:b/>
          <w:bCs/>
          <w:lang w:val="en-GB" w:eastAsia="en-GB"/>
        </w:rPr>
        <w:t>mode</w:t>
      </w:r>
      <w:r w:rsidRPr="00242606">
        <w:rPr>
          <w:rFonts w:eastAsia="Times New Roman" w:cs="Times New Roman"/>
          <w:lang w:val="en-GB" w:eastAsia="en-GB"/>
        </w:rPr>
        <w:t xml:space="preserve"> (the number which appears most often in a set of numbers).</w:t>
      </w:r>
    </w:p>
    <w:p w14:paraId="09F59BBE" w14:textId="77777777" w:rsidR="00242606" w:rsidRPr="00242606" w:rsidRDefault="00242606" w:rsidP="00242606">
      <w:pPr>
        <w:pStyle w:val="ListParagraph"/>
        <w:widowControl/>
        <w:autoSpaceDE/>
        <w:autoSpaceDN/>
        <w:spacing w:before="60" w:after="60"/>
        <w:ind w:left="1418" w:firstLine="0"/>
        <w:contextualSpacing/>
        <w:rPr>
          <w:rFonts w:eastAsia="Times New Roman" w:cs="Times New Roman"/>
          <w:lang w:val="en-GB" w:eastAsia="en-GB"/>
        </w:rPr>
      </w:pPr>
    </w:p>
    <w:p w14:paraId="2E647B47" w14:textId="11C07BF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 xml:space="preserve">This is explored in </w:t>
      </w:r>
      <w:r w:rsidR="00826413">
        <w:rPr>
          <w:rFonts w:eastAsia="Times New Roman"/>
          <w:lang w:val="en-GB" w:eastAsia="en-GB"/>
        </w:rPr>
        <w:fldChar w:fldCharType="begin"/>
      </w:r>
      <w:r w:rsidR="00826413">
        <w:rPr>
          <w:rFonts w:eastAsia="Times New Roman"/>
          <w:lang w:val="en-GB" w:eastAsia="en-GB"/>
        </w:rPr>
        <w:instrText xml:space="preserve"> REF _Ref50109695 \h </w:instrText>
      </w:r>
      <w:r w:rsidR="00826413">
        <w:rPr>
          <w:rFonts w:eastAsia="Times New Roman"/>
          <w:lang w:val="en-GB" w:eastAsia="en-GB"/>
        </w:rPr>
      </w:r>
      <w:r w:rsidR="00826413">
        <w:rPr>
          <w:rFonts w:eastAsia="Times New Roman"/>
          <w:lang w:val="en-GB" w:eastAsia="en-GB"/>
        </w:rPr>
        <w:fldChar w:fldCharType="separate"/>
      </w:r>
      <w:r w:rsidR="00826413" w:rsidRPr="00295BC0">
        <w:t xml:space="preserve">Appendix </w:t>
      </w:r>
      <w:r w:rsidR="00826413">
        <w:t>A:  Statistical Uncertainties</w:t>
      </w:r>
      <w:r w:rsidR="00826413">
        <w:rPr>
          <w:rFonts w:eastAsia="Times New Roman"/>
          <w:lang w:val="en-GB" w:eastAsia="en-GB"/>
        </w:rPr>
        <w:fldChar w:fldCharType="end"/>
      </w:r>
      <w:r w:rsidRPr="00242606">
        <w:rPr>
          <w:rFonts w:eastAsia="Times New Roman"/>
          <w:lang w:val="en-GB" w:eastAsia="en-GB"/>
        </w:rPr>
        <w:t>, which states that the mean is the most useful type of average for safety case practitioners.</w:t>
      </w:r>
    </w:p>
    <w:p w14:paraId="5FDA0F8F"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Worst case is another phrase used.</w:t>
      </w:r>
      <w:r w:rsidR="00242606">
        <w:rPr>
          <w:rFonts w:eastAsia="Times New Roman"/>
          <w:lang w:val="en-GB" w:eastAsia="en-GB"/>
        </w:rPr>
        <w:t xml:space="preserve"> </w:t>
      </w:r>
      <w:r w:rsidRPr="00242606">
        <w:rPr>
          <w:rFonts w:eastAsia="Times New Roman"/>
          <w:lang w:val="en-GB" w:eastAsia="en-GB"/>
        </w:rPr>
        <w:t xml:space="preserve"> It implies that there is no credible case that is worse. </w:t>
      </w:r>
      <w:r w:rsidR="00242606">
        <w:rPr>
          <w:rFonts w:eastAsia="Times New Roman"/>
          <w:lang w:val="en-GB" w:eastAsia="en-GB"/>
        </w:rPr>
        <w:t xml:space="preserve"> </w:t>
      </w:r>
      <w:r w:rsidRPr="00242606">
        <w:rPr>
          <w:rFonts w:eastAsia="Times New Roman"/>
          <w:lang w:val="en-GB" w:eastAsia="en-GB"/>
        </w:rPr>
        <w:t>In some cases, a worst-case value may be adopted as the conservative value, but it is important to note that worst case may be overly conservative.</w:t>
      </w:r>
    </w:p>
    <w:p w14:paraId="4B93C6B4"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In this Guide, the phrase ‘a conservatism’ refers to a specific instance of applying the conservative approach.</w:t>
      </w:r>
    </w:p>
    <w:p w14:paraId="7F3AB47D" w14:textId="77777777" w:rsidR="00CF796F" w:rsidRPr="00242606" w:rsidRDefault="0087786B" w:rsidP="00242606">
      <w:pPr>
        <w:pStyle w:val="ListParagraph"/>
        <w:widowControl/>
        <w:autoSpaceDE/>
        <w:autoSpaceDN/>
        <w:spacing w:before="120" w:after="120"/>
        <w:ind w:left="851" w:right="-149" w:firstLine="0"/>
        <w:rPr>
          <w:rFonts w:eastAsia="Times New Roman"/>
          <w:lang w:val="en-GB" w:eastAsia="en-GB"/>
        </w:rPr>
      </w:pPr>
      <w:r w:rsidRPr="00242606">
        <w:rPr>
          <w:rFonts w:eastAsia="Times New Roman"/>
          <w:lang w:val="en-GB" w:eastAsia="en-GB"/>
        </w:rPr>
        <w:t xml:space="preserve">An ‘over-conservatism’ is a conservatism that is meant to address an uncertainty, but its scale is in fact </w:t>
      </w:r>
      <w:r w:rsidRPr="00242606">
        <w:rPr>
          <w:rFonts w:eastAsia="Times New Roman"/>
          <w:b/>
          <w:bCs/>
          <w:lang w:val="en-GB" w:eastAsia="en-GB"/>
        </w:rPr>
        <w:t>greater than</w:t>
      </w:r>
      <w:r w:rsidRPr="00242606">
        <w:rPr>
          <w:rFonts w:eastAsia="Times New Roman"/>
          <w:lang w:val="en-GB" w:eastAsia="en-GB"/>
        </w:rPr>
        <w:t xml:space="preserve"> is actually required to address the uncertainty.</w:t>
      </w:r>
      <w:r w:rsidR="00242606">
        <w:rPr>
          <w:rFonts w:eastAsia="Times New Roman"/>
          <w:lang w:val="en-GB" w:eastAsia="en-GB"/>
        </w:rPr>
        <w:t xml:space="preserve"> </w:t>
      </w:r>
      <w:r w:rsidRPr="00242606">
        <w:rPr>
          <w:rFonts w:eastAsia="Times New Roman"/>
          <w:lang w:val="en-GB" w:eastAsia="en-GB"/>
        </w:rPr>
        <w:t xml:space="preserve"> See examples in the section ‘Achieving a Balance between Under-</w:t>
      </w:r>
      <w:r w:rsidR="00242606">
        <w:rPr>
          <w:rFonts w:eastAsia="Times New Roman"/>
          <w:lang w:val="en-GB" w:eastAsia="en-GB"/>
        </w:rPr>
        <w:t>C</w:t>
      </w:r>
      <w:r w:rsidRPr="00242606">
        <w:rPr>
          <w:rFonts w:eastAsia="Times New Roman"/>
          <w:lang w:val="en-GB" w:eastAsia="en-GB"/>
        </w:rPr>
        <w:t>onservatism and Over-</w:t>
      </w:r>
      <w:r w:rsidR="00242606">
        <w:rPr>
          <w:rFonts w:eastAsia="Times New Roman"/>
          <w:lang w:val="en-GB" w:eastAsia="en-GB"/>
        </w:rPr>
        <w:t>C</w:t>
      </w:r>
      <w:r w:rsidRPr="00242606">
        <w:rPr>
          <w:rFonts w:eastAsia="Times New Roman"/>
          <w:lang w:val="en-GB" w:eastAsia="en-GB"/>
        </w:rPr>
        <w:t>onservatism, including Examples’.</w:t>
      </w:r>
    </w:p>
    <w:p w14:paraId="0A2B1C18"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 xml:space="preserve">An ‘under-conservatism’ is a conservatism that is meant to address an uncertainty, but its scale is in fact </w:t>
      </w:r>
      <w:r w:rsidRPr="00242606">
        <w:rPr>
          <w:rFonts w:eastAsia="Times New Roman"/>
          <w:b/>
          <w:bCs/>
          <w:lang w:val="en-GB" w:eastAsia="en-GB"/>
        </w:rPr>
        <w:t>not great enough</w:t>
      </w:r>
      <w:r w:rsidRPr="00242606">
        <w:rPr>
          <w:rFonts w:eastAsia="Times New Roman"/>
          <w:lang w:val="en-GB" w:eastAsia="en-GB"/>
        </w:rPr>
        <w:t xml:space="preserve"> to address the uncertainty. </w:t>
      </w:r>
      <w:r w:rsidR="00242606">
        <w:rPr>
          <w:rFonts w:eastAsia="Times New Roman"/>
          <w:lang w:val="en-GB" w:eastAsia="en-GB"/>
        </w:rPr>
        <w:t xml:space="preserve"> </w:t>
      </w:r>
      <w:r w:rsidRPr="00242606">
        <w:rPr>
          <w:rFonts w:eastAsia="Times New Roman"/>
          <w:lang w:val="en-GB" w:eastAsia="en-GB"/>
        </w:rPr>
        <w:t>See examples in the section ‘Achieving a Balance between Under-</w:t>
      </w:r>
      <w:r w:rsidR="00242606">
        <w:rPr>
          <w:rFonts w:eastAsia="Times New Roman"/>
          <w:lang w:val="en-GB" w:eastAsia="en-GB"/>
        </w:rPr>
        <w:t>C</w:t>
      </w:r>
      <w:r w:rsidRPr="00242606">
        <w:rPr>
          <w:rFonts w:eastAsia="Times New Roman"/>
          <w:lang w:val="en-GB" w:eastAsia="en-GB"/>
        </w:rPr>
        <w:t xml:space="preserve">onservatism and Over- </w:t>
      </w:r>
      <w:r w:rsidR="00242606">
        <w:rPr>
          <w:rFonts w:eastAsia="Times New Roman"/>
          <w:lang w:val="en-GB" w:eastAsia="en-GB"/>
        </w:rPr>
        <w:t>C</w:t>
      </w:r>
      <w:r w:rsidRPr="00242606">
        <w:rPr>
          <w:rFonts w:eastAsia="Times New Roman"/>
          <w:lang w:val="en-GB" w:eastAsia="en-GB"/>
        </w:rPr>
        <w:t>onservatism, including Examples’.</w:t>
      </w:r>
    </w:p>
    <w:p w14:paraId="32E181C9" w14:textId="77777777" w:rsidR="00CF796F" w:rsidRPr="00242606" w:rsidRDefault="0087786B" w:rsidP="00242606">
      <w:pPr>
        <w:pStyle w:val="ListParagraph"/>
        <w:widowControl/>
        <w:autoSpaceDE/>
        <w:autoSpaceDN/>
        <w:spacing w:before="120" w:after="120"/>
        <w:ind w:left="851" w:firstLine="0"/>
        <w:rPr>
          <w:rFonts w:eastAsia="Times New Roman"/>
          <w:lang w:val="en-GB" w:eastAsia="en-GB"/>
        </w:rPr>
      </w:pPr>
      <w:r w:rsidRPr="00242606">
        <w:rPr>
          <w:rFonts w:eastAsia="Times New Roman"/>
          <w:lang w:val="en-GB" w:eastAsia="en-GB"/>
        </w:rPr>
        <w:t>An ‘optimism’ is the opposite of a conservatism, and refers to an approach where the use of models, data and assumptions would be expected to lead to a result that is on the unsafe side of the best-estimate (where known).</w:t>
      </w:r>
    </w:p>
    <w:p w14:paraId="103CD749" w14:textId="77777777" w:rsidR="00CF796F" w:rsidRDefault="00242606" w:rsidP="00CF0294">
      <w:pPr>
        <w:pStyle w:val="Heading2"/>
      </w:pPr>
      <w:bookmarkStart w:id="20" w:name="_Toc50110445"/>
      <w:r>
        <w:t>2.2</w:t>
      </w:r>
      <w:r>
        <w:tab/>
      </w:r>
      <w:r w:rsidR="0087786B">
        <w:t>Uncertainty</w:t>
      </w:r>
      <w:bookmarkEnd w:id="20"/>
    </w:p>
    <w:p w14:paraId="091BC824" w14:textId="77777777" w:rsidR="00CF796F" w:rsidRPr="00816666" w:rsidRDefault="0087786B" w:rsidP="00816666">
      <w:pPr>
        <w:pStyle w:val="ListParagraph"/>
        <w:widowControl/>
        <w:autoSpaceDE/>
        <w:autoSpaceDN/>
        <w:spacing w:before="120" w:after="120"/>
        <w:ind w:left="851" w:firstLine="0"/>
        <w:rPr>
          <w:rFonts w:eastAsia="Times New Roman"/>
          <w:lang w:val="en-GB" w:eastAsia="en-GB"/>
        </w:rPr>
      </w:pPr>
      <w:r w:rsidRPr="00816666">
        <w:rPr>
          <w:rFonts w:eastAsia="Times New Roman"/>
          <w:lang w:val="en-GB" w:eastAsia="en-GB"/>
        </w:rPr>
        <w:t xml:space="preserve">In safety analysis, there are usually many uncertainties. </w:t>
      </w:r>
      <w:r w:rsidR="00BF3F3F">
        <w:rPr>
          <w:rFonts w:eastAsia="Times New Roman"/>
          <w:lang w:val="en-GB" w:eastAsia="en-GB"/>
        </w:rPr>
        <w:t xml:space="preserve"> </w:t>
      </w:r>
      <w:r w:rsidRPr="00816666">
        <w:rPr>
          <w:rFonts w:eastAsia="Times New Roman"/>
          <w:lang w:val="en-GB" w:eastAsia="en-GB"/>
        </w:rPr>
        <w:t>There are known uncertainties, e.g. in a statistical distribution (which cannot be avoided), but there are also unknown uncertainties (which need to be avoided and minimised as far as practicable).</w:t>
      </w:r>
      <w:r w:rsidR="00BF3F3F">
        <w:rPr>
          <w:rFonts w:eastAsia="Times New Roman"/>
          <w:lang w:val="en-GB" w:eastAsia="en-GB"/>
        </w:rPr>
        <w:t xml:space="preserve"> </w:t>
      </w:r>
      <w:r w:rsidRPr="00816666">
        <w:rPr>
          <w:rFonts w:eastAsia="Times New Roman"/>
          <w:lang w:val="en-GB" w:eastAsia="en-GB"/>
        </w:rPr>
        <w:t xml:space="preserve"> There can be uncertainties about:</w:t>
      </w:r>
    </w:p>
    <w:p w14:paraId="09D9BE89" w14:textId="77777777" w:rsidR="00CF796F" w:rsidRPr="00BF3F3F" w:rsidRDefault="00BF3F3F" w:rsidP="00BF3F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F</w:t>
      </w:r>
      <w:r w:rsidR="0087786B" w:rsidRPr="00BF3F3F">
        <w:rPr>
          <w:rFonts w:eastAsia="Times New Roman" w:cs="Times New Roman"/>
          <w:lang w:val="en-GB" w:eastAsia="en-GB"/>
        </w:rPr>
        <w:t>ault development;</w:t>
      </w:r>
    </w:p>
    <w:p w14:paraId="016F3CC1" w14:textId="77777777" w:rsidR="00CF796F" w:rsidRPr="00BF3F3F" w:rsidRDefault="00BF3F3F" w:rsidP="00BF3F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T</w:t>
      </w:r>
      <w:r w:rsidR="0087786B" w:rsidRPr="00BF3F3F">
        <w:rPr>
          <w:rFonts w:eastAsia="Times New Roman" w:cs="Times New Roman"/>
          <w:lang w:val="en-GB" w:eastAsia="en-GB"/>
        </w:rPr>
        <w:t>he level of consequence arising from an accident scenario, even a well- defined one;</w:t>
      </w:r>
    </w:p>
    <w:p w14:paraId="237A6752" w14:textId="77777777" w:rsidR="00CF796F" w:rsidRPr="00BF3F3F" w:rsidRDefault="00BF3F3F" w:rsidP="00BF3F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T</w:t>
      </w:r>
      <w:r w:rsidR="0087786B" w:rsidRPr="00BF3F3F">
        <w:rPr>
          <w:rFonts w:eastAsia="Times New Roman" w:cs="Times New Roman"/>
          <w:lang w:val="en-GB" w:eastAsia="en-GB"/>
        </w:rPr>
        <w:t>he engineering performance of structures, systems and components; and</w:t>
      </w:r>
      <w:r>
        <w:rPr>
          <w:rFonts w:eastAsia="Times New Roman" w:cs="Times New Roman"/>
          <w:lang w:val="en-GB" w:eastAsia="en-GB"/>
        </w:rPr>
        <w:t>,</w:t>
      </w:r>
    </w:p>
    <w:p w14:paraId="29DA78E7" w14:textId="77777777" w:rsidR="00CF796F" w:rsidRDefault="00BF3F3F" w:rsidP="00BF3F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M</w:t>
      </w:r>
      <w:r w:rsidR="0087786B" w:rsidRPr="00BF3F3F">
        <w:rPr>
          <w:rFonts w:eastAsia="Times New Roman" w:cs="Times New Roman"/>
          <w:lang w:val="en-GB" w:eastAsia="en-GB"/>
        </w:rPr>
        <w:t>any other aspects.</w:t>
      </w:r>
    </w:p>
    <w:p w14:paraId="3D5CF92B" w14:textId="77777777" w:rsidR="00BF3F3F" w:rsidRPr="00BF3F3F" w:rsidRDefault="00BF3F3F" w:rsidP="00BF3F3F">
      <w:pPr>
        <w:pStyle w:val="ListParagraph"/>
        <w:widowControl/>
        <w:autoSpaceDE/>
        <w:autoSpaceDN/>
        <w:spacing w:before="60" w:after="60"/>
        <w:ind w:left="1418" w:firstLine="0"/>
        <w:contextualSpacing/>
        <w:rPr>
          <w:rFonts w:eastAsia="Times New Roman" w:cs="Times New Roman"/>
          <w:lang w:val="en-GB" w:eastAsia="en-GB"/>
        </w:rPr>
      </w:pPr>
    </w:p>
    <w:p w14:paraId="32CFAE24" w14:textId="77777777" w:rsidR="00CF796F" w:rsidRPr="00BF3F3F" w:rsidRDefault="0087786B" w:rsidP="00BF3F3F">
      <w:pPr>
        <w:pStyle w:val="ListParagraph"/>
        <w:widowControl/>
        <w:autoSpaceDE/>
        <w:autoSpaceDN/>
        <w:spacing w:before="120" w:after="120"/>
        <w:ind w:left="851" w:firstLine="0"/>
        <w:rPr>
          <w:rFonts w:eastAsia="Times New Roman"/>
          <w:lang w:val="en-GB" w:eastAsia="en-GB"/>
        </w:rPr>
      </w:pPr>
      <w:r w:rsidRPr="00BF3F3F">
        <w:rPr>
          <w:rFonts w:eastAsia="Times New Roman"/>
          <w:lang w:val="en-GB" w:eastAsia="en-GB"/>
        </w:rPr>
        <w:t xml:space="preserve">In reality, there are very few elements of a safety argument where there is no uncertainty at all. </w:t>
      </w:r>
      <w:r w:rsidR="00BF3F3F">
        <w:rPr>
          <w:rFonts w:eastAsia="Times New Roman"/>
          <w:lang w:val="en-GB" w:eastAsia="en-GB"/>
        </w:rPr>
        <w:t xml:space="preserve"> </w:t>
      </w:r>
      <w:r w:rsidRPr="00BF3F3F">
        <w:rPr>
          <w:rFonts w:eastAsia="Times New Roman"/>
          <w:lang w:val="en-GB" w:eastAsia="en-GB"/>
        </w:rPr>
        <w:t>Thus</w:t>
      </w:r>
      <w:r w:rsidR="00BF3F3F">
        <w:rPr>
          <w:rFonts w:eastAsia="Times New Roman"/>
          <w:lang w:val="en-GB" w:eastAsia="en-GB"/>
        </w:rPr>
        <w:t>,</w:t>
      </w:r>
      <w:r w:rsidRPr="00BF3F3F">
        <w:rPr>
          <w:rFonts w:eastAsia="Times New Roman"/>
          <w:lang w:val="en-GB" w:eastAsia="en-GB"/>
        </w:rPr>
        <w:t xml:space="preserve"> management of uncertainties is a fundamental part of safety analysis.</w:t>
      </w:r>
    </w:p>
    <w:p w14:paraId="64587032" w14:textId="5E2B1A77" w:rsidR="00CF796F" w:rsidRPr="00826413" w:rsidRDefault="00826413" w:rsidP="00BF3F3F">
      <w:pPr>
        <w:pStyle w:val="ListParagraph"/>
        <w:widowControl/>
        <w:autoSpaceDE/>
        <w:autoSpaceDN/>
        <w:spacing w:before="120" w:after="120"/>
        <w:ind w:left="851" w:firstLine="0"/>
        <w:rPr>
          <w:rFonts w:eastAsia="Times New Roman"/>
          <w:color w:val="000000" w:themeColor="text1"/>
          <w:lang w:val="en-GB" w:eastAsia="en-GB"/>
        </w:rPr>
      </w:pPr>
      <w:r w:rsidRPr="00826413">
        <w:rPr>
          <w:rFonts w:eastAsia="Times New Roman"/>
          <w:color w:val="000000" w:themeColor="text1"/>
          <w:lang w:val="en-GB" w:eastAsia="en-GB"/>
        </w:rPr>
        <w:lastRenderedPageBreak/>
        <w:fldChar w:fldCharType="begin"/>
      </w:r>
      <w:r w:rsidRPr="00826413">
        <w:rPr>
          <w:rFonts w:eastAsia="Times New Roman"/>
          <w:color w:val="000000" w:themeColor="text1"/>
          <w:lang w:val="en-GB" w:eastAsia="en-GB"/>
        </w:rPr>
        <w:instrText xml:space="preserve"> REF _Ref50109742 \h </w:instrText>
      </w:r>
      <w:r w:rsidRPr="00826413">
        <w:rPr>
          <w:rFonts w:eastAsia="Times New Roman"/>
          <w:color w:val="000000" w:themeColor="text1"/>
          <w:lang w:val="en-GB" w:eastAsia="en-GB"/>
        </w:rPr>
      </w:r>
      <w:r w:rsidRPr="00826413">
        <w:rPr>
          <w:rFonts w:eastAsia="Times New Roman"/>
          <w:color w:val="000000" w:themeColor="text1"/>
          <w:lang w:val="en-GB" w:eastAsia="en-GB"/>
        </w:rPr>
        <w:fldChar w:fldCharType="separate"/>
      </w:r>
      <w:r w:rsidRPr="00826413">
        <w:rPr>
          <w:color w:val="000000" w:themeColor="text1"/>
        </w:rPr>
        <w:t>Appendix A:</w:t>
      </w:r>
      <w:r w:rsidRPr="00826413">
        <w:rPr>
          <w:color w:val="000000" w:themeColor="text1"/>
        </w:rPr>
        <w:tab/>
        <w:t>Statistical Uncertainties</w:t>
      </w:r>
      <w:r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w:t>
      </w:r>
      <w:r w:rsidR="0087786B" w:rsidRPr="00826413">
        <w:rPr>
          <w:rFonts w:eastAsia="Times New Roman"/>
          <w:color w:val="000000" w:themeColor="text1"/>
          <w:lang w:val="en-GB" w:eastAsia="en-GB"/>
        </w:rPr>
        <w:t>describes the characteristics of statistical uncertainty, and how this affects safety cases.</w:t>
      </w:r>
      <w:r w:rsidR="00BF3F3F" w:rsidRPr="00826413">
        <w:rPr>
          <w:rFonts w:eastAsia="Times New Roman"/>
          <w:color w:val="000000" w:themeColor="text1"/>
          <w:lang w:val="en-GB" w:eastAsia="en-GB"/>
        </w:rPr>
        <w:t xml:space="preserve"> </w:t>
      </w:r>
      <w:r w:rsidR="0087786B" w:rsidRPr="00826413">
        <w:rPr>
          <w:rFonts w:eastAsia="Times New Roman"/>
          <w:color w:val="000000" w:themeColor="text1"/>
          <w:lang w:val="en-GB" w:eastAsia="en-GB"/>
        </w:rPr>
        <w:t xml:space="preserve"> There are also uncertainties that do not directly relate to parameters, such as assumptions about how a fault sequence progresses - these uncertainties can be more significant than statistical uncertainties.</w:t>
      </w:r>
    </w:p>
    <w:p w14:paraId="2FD51531" w14:textId="77777777" w:rsidR="00C25390" w:rsidRPr="00826413" w:rsidRDefault="00C25390">
      <w:pPr>
        <w:rPr>
          <w:rFonts w:eastAsia="Times New Roman"/>
          <w:color w:val="000000" w:themeColor="text1"/>
          <w:lang w:val="en-GB" w:eastAsia="en-GB"/>
        </w:rPr>
      </w:pPr>
      <w:r w:rsidRPr="00826413">
        <w:rPr>
          <w:rFonts w:eastAsia="Times New Roman"/>
          <w:color w:val="000000" w:themeColor="text1"/>
          <w:lang w:val="en-GB" w:eastAsia="en-GB"/>
        </w:rPr>
        <w:br w:type="page"/>
      </w:r>
    </w:p>
    <w:p w14:paraId="1C9AC947" w14:textId="77777777" w:rsidR="00CF796F" w:rsidRDefault="0087786B" w:rsidP="00826413">
      <w:pPr>
        <w:pStyle w:val="Heading1"/>
      </w:pPr>
      <w:bookmarkStart w:id="21" w:name="_Ref50109926"/>
      <w:bookmarkStart w:id="22" w:name="_Ref50110093"/>
      <w:bookmarkStart w:id="23" w:name="_Ref50110115"/>
      <w:bookmarkStart w:id="24" w:name="_Toc50110446"/>
      <w:r>
        <w:lastRenderedPageBreak/>
        <w:t xml:space="preserve">Introduction to </w:t>
      </w:r>
      <w:r w:rsidR="00C25390">
        <w:t xml:space="preserve">the </w:t>
      </w:r>
      <w:r>
        <w:t>Subject Matter</w:t>
      </w:r>
      <w:bookmarkEnd w:id="21"/>
      <w:bookmarkEnd w:id="22"/>
      <w:bookmarkEnd w:id="23"/>
      <w:bookmarkEnd w:id="24"/>
    </w:p>
    <w:p w14:paraId="79285F6A" w14:textId="77777777" w:rsidR="00CF796F" w:rsidRPr="00C25390" w:rsidRDefault="0087786B" w:rsidP="00C25390">
      <w:pPr>
        <w:pStyle w:val="ListParagraph"/>
        <w:widowControl/>
        <w:autoSpaceDE/>
        <w:autoSpaceDN/>
        <w:spacing w:before="120" w:after="120"/>
        <w:ind w:left="851" w:firstLine="0"/>
        <w:rPr>
          <w:rFonts w:eastAsia="Times New Roman"/>
          <w:lang w:val="en-GB" w:eastAsia="en-GB"/>
        </w:rPr>
      </w:pPr>
      <w:r w:rsidRPr="00C25390">
        <w:rPr>
          <w:rFonts w:eastAsia="Times New Roman"/>
          <w:lang w:val="en-GB" w:eastAsia="en-GB"/>
        </w:rPr>
        <w:t>There are two main reasons why a conservative approach is adopted in safety cases:</w:t>
      </w:r>
    </w:p>
    <w:p w14:paraId="1CE14F4F" w14:textId="77777777" w:rsidR="00CF796F" w:rsidRPr="00C25390" w:rsidRDefault="0087786B" w:rsidP="00C25390">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25390">
        <w:rPr>
          <w:rFonts w:eastAsia="Times New Roman" w:cs="Times New Roman"/>
          <w:lang w:val="en-GB" w:eastAsia="en-GB"/>
        </w:rPr>
        <w:t>To address uncertainty.</w:t>
      </w:r>
    </w:p>
    <w:p w14:paraId="0AAC4F76" w14:textId="77777777" w:rsidR="00CF796F" w:rsidRDefault="0087786B" w:rsidP="00C25390">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25390">
        <w:rPr>
          <w:rFonts w:eastAsia="Times New Roman" w:cs="Times New Roman"/>
          <w:lang w:val="en-GB" w:eastAsia="en-GB"/>
        </w:rPr>
        <w:t>For convenience.</w:t>
      </w:r>
    </w:p>
    <w:p w14:paraId="0F711978" w14:textId="77777777" w:rsidR="00C25390" w:rsidRPr="00C25390" w:rsidRDefault="00C25390" w:rsidP="00C25390">
      <w:pPr>
        <w:pStyle w:val="ListParagraph"/>
        <w:widowControl/>
        <w:autoSpaceDE/>
        <w:autoSpaceDN/>
        <w:spacing w:before="60" w:after="60"/>
        <w:ind w:left="1418" w:firstLine="0"/>
        <w:contextualSpacing/>
        <w:rPr>
          <w:rFonts w:eastAsia="Times New Roman" w:cs="Times New Roman"/>
          <w:lang w:val="en-GB" w:eastAsia="en-GB"/>
        </w:rPr>
      </w:pPr>
    </w:p>
    <w:p w14:paraId="00EABB88" w14:textId="3D4F1B46" w:rsidR="00C25390" w:rsidRDefault="0087786B" w:rsidP="00C25390">
      <w:pPr>
        <w:pStyle w:val="ListParagraph"/>
        <w:widowControl/>
        <w:autoSpaceDE/>
        <w:autoSpaceDN/>
        <w:spacing w:before="120" w:after="120"/>
        <w:ind w:left="851" w:right="57" w:firstLine="0"/>
        <w:rPr>
          <w:rFonts w:eastAsia="Times New Roman"/>
          <w:lang w:val="en-GB" w:eastAsia="en-GB"/>
        </w:rPr>
      </w:pPr>
      <w:r w:rsidRPr="00C25390">
        <w:rPr>
          <w:rFonts w:eastAsia="Times New Roman"/>
          <w:lang w:val="en-GB" w:eastAsia="en-GB"/>
        </w:rPr>
        <w:t xml:space="preserve">Uncertainty is addressed by using a conservative </w:t>
      </w:r>
      <w:r w:rsidRPr="00826413">
        <w:rPr>
          <w:rFonts w:eastAsia="Times New Roman"/>
          <w:color w:val="000000" w:themeColor="text1"/>
          <w:lang w:val="en-GB" w:eastAsia="en-GB"/>
        </w:rPr>
        <w:t xml:space="preserve">approach. </w:t>
      </w:r>
      <w:r w:rsidR="00C25390" w:rsidRPr="00826413">
        <w:rPr>
          <w:rFonts w:eastAsia="Times New Roman"/>
          <w:color w:val="000000" w:themeColor="text1"/>
          <w:lang w:val="en-GB" w:eastAsia="en-GB"/>
        </w:rPr>
        <w:t xml:space="preserve"> </w:t>
      </w:r>
      <w:r w:rsidRPr="00826413">
        <w:rPr>
          <w:rFonts w:eastAsia="Times New Roman"/>
          <w:color w:val="000000" w:themeColor="text1"/>
          <w:lang w:val="en-GB" w:eastAsia="en-GB"/>
        </w:rPr>
        <w:t>Reference 1 states: “In DBA, any uncertainties in the fault progre</w:t>
      </w:r>
      <w:r w:rsidRPr="00C25390">
        <w:rPr>
          <w:rFonts w:eastAsia="Times New Roman"/>
          <w:lang w:val="en-GB" w:eastAsia="en-GB"/>
        </w:rPr>
        <w:t xml:space="preserve">ssion and consequence analyses are addressed by the use of appropriate conservatism.” </w:t>
      </w:r>
      <w:r w:rsidR="00C25390">
        <w:rPr>
          <w:rFonts w:eastAsia="Times New Roman"/>
          <w:lang w:val="en-GB" w:eastAsia="en-GB"/>
        </w:rPr>
        <w:t xml:space="preserve"> </w:t>
      </w:r>
      <w:r w:rsidRPr="00C25390">
        <w:rPr>
          <w:rFonts w:eastAsia="Times New Roman"/>
          <w:lang w:val="en-GB" w:eastAsia="en-GB"/>
        </w:rPr>
        <w:t xml:space="preserve">This conservatism is important in order to demonstrate safety effectively, and it is most important when there are cliff-edge effects. </w:t>
      </w:r>
      <w:r w:rsidR="00C25390">
        <w:rPr>
          <w:rFonts w:eastAsia="Times New Roman"/>
          <w:lang w:val="en-GB" w:eastAsia="en-GB"/>
        </w:rPr>
        <w:t xml:space="preserve"> </w:t>
      </w:r>
      <w:r w:rsidRPr="00C25390">
        <w:rPr>
          <w:rFonts w:eastAsia="Times New Roman"/>
          <w:lang w:val="en-GB" w:eastAsia="en-GB"/>
        </w:rPr>
        <w:t>For example, if a liquid might have a range of activities, failure to take account of the range (e.g. by simply using the average activity) might mean that a DBA consequence threshold, e.g. 20 mSv to a worker is presented as simply not exceeded, whereas in fact there is a significant probability that it is exceeded, and the DBA (and the whole safety assessment) may then be inadequate.</w:t>
      </w:r>
      <w:r w:rsidR="00C25390">
        <w:rPr>
          <w:rFonts w:eastAsia="Times New Roman"/>
          <w:lang w:val="en-GB" w:eastAsia="en-GB"/>
        </w:rPr>
        <w:t xml:space="preserve"> </w:t>
      </w:r>
      <w:r w:rsidRPr="00C25390">
        <w:rPr>
          <w:rFonts w:eastAsia="Times New Roman"/>
          <w:lang w:val="en-GB" w:eastAsia="en-GB"/>
        </w:rPr>
        <w:t xml:space="preserve"> But if at the top of the range of uncertainty, the liquid is so radioactive that it is significantly self-heating, then this is a cliff-edge effect that must be addressed, as there will be additional fault sequences that would otherwise be omitted, resulting in a seriously inadequate safety assessment.</w:t>
      </w:r>
    </w:p>
    <w:p w14:paraId="482906F4" w14:textId="77777777" w:rsidR="00CF796F" w:rsidRPr="00C25390" w:rsidRDefault="0087786B" w:rsidP="00C25390">
      <w:pPr>
        <w:pStyle w:val="ListParagraph"/>
        <w:widowControl/>
        <w:autoSpaceDE/>
        <w:autoSpaceDN/>
        <w:spacing w:before="120" w:after="120"/>
        <w:ind w:left="851" w:right="57" w:firstLine="0"/>
        <w:rPr>
          <w:rFonts w:eastAsia="Times New Roman"/>
          <w:lang w:val="en-GB" w:eastAsia="en-GB"/>
        </w:rPr>
      </w:pPr>
      <w:r w:rsidRPr="00C25390">
        <w:rPr>
          <w:rFonts w:eastAsia="Times New Roman"/>
          <w:lang w:val="en-GB" w:eastAsia="en-GB"/>
        </w:rPr>
        <w:t>Thus</w:t>
      </w:r>
      <w:r w:rsidR="00C25390">
        <w:rPr>
          <w:rFonts w:eastAsia="Times New Roman"/>
          <w:lang w:val="en-GB" w:eastAsia="en-GB"/>
        </w:rPr>
        <w:t>,</w:t>
      </w:r>
      <w:r w:rsidRPr="00C25390">
        <w:rPr>
          <w:rFonts w:eastAsia="Times New Roman"/>
          <w:lang w:val="en-GB" w:eastAsia="en-GB"/>
        </w:rPr>
        <w:t xml:space="preserve"> under- conservatism can be a major weakness of a safety </w:t>
      </w:r>
      <w:r w:rsidRPr="00826413">
        <w:rPr>
          <w:rFonts w:eastAsia="Times New Roman"/>
          <w:color w:val="000000" w:themeColor="text1"/>
          <w:lang w:val="en-GB" w:eastAsia="en-GB"/>
        </w:rPr>
        <w:t xml:space="preserve">case. </w:t>
      </w:r>
      <w:r w:rsidR="00C25390" w:rsidRPr="00826413">
        <w:rPr>
          <w:rFonts w:eastAsia="Times New Roman"/>
          <w:color w:val="000000" w:themeColor="text1"/>
          <w:lang w:val="en-GB" w:eastAsia="en-GB"/>
        </w:rPr>
        <w:t xml:space="preserve"> </w:t>
      </w:r>
      <w:r w:rsidRPr="00826413">
        <w:rPr>
          <w:rFonts w:eastAsia="Times New Roman"/>
          <w:color w:val="000000" w:themeColor="text1"/>
          <w:lang w:val="en-GB" w:eastAsia="en-GB"/>
        </w:rPr>
        <w:t xml:space="preserve">Principle SC.5 in Reference 1 states </w:t>
      </w:r>
      <w:r w:rsidRPr="00826413">
        <w:rPr>
          <w:rFonts w:eastAsia="Times New Roman"/>
          <w:b/>
          <w:bCs/>
          <w:i/>
          <w:iCs/>
          <w:color w:val="000000" w:themeColor="text1"/>
          <w:lang w:val="en-GB" w:eastAsia="en-GB"/>
        </w:rPr>
        <w:t xml:space="preserve">‘Safety cases should identify areas of optimism </w:t>
      </w:r>
      <w:r w:rsidRPr="00C25390">
        <w:rPr>
          <w:rFonts w:eastAsia="Times New Roman"/>
          <w:b/>
          <w:bCs/>
          <w:i/>
          <w:iCs/>
          <w:lang w:val="en-GB" w:eastAsia="en-GB"/>
        </w:rPr>
        <w:t>and uncertainty, together with their significance, in addition to strengths and any claimed conservatism’</w:t>
      </w:r>
      <w:r w:rsidRPr="00C25390">
        <w:rPr>
          <w:rFonts w:eastAsia="Times New Roman"/>
          <w:lang w:val="en-GB" w:eastAsia="en-GB"/>
        </w:rPr>
        <w:t>, and this important Principle is supported in this Guide.</w:t>
      </w:r>
    </w:p>
    <w:p w14:paraId="68FCA178" w14:textId="77777777" w:rsidR="00CF796F" w:rsidRPr="00C25390" w:rsidRDefault="0087786B" w:rsidP="00C25390">
      <w:pPr>
        <w:pStyle w:val="ListParagraph"/>
        <w:widowControl/>
        <w:autoSpaceDE/>
        <w:autoSpaceDN/>
        <w:spacing w:before="120" w:after="120"/>
        <w:ind w:left="851" w:firstLine="0"/>
        <w:rPr>
          <w:rFonts w:eastAsia="Times New Roman"/>
          <w:lang w:val="en-GB" w:eastAsia="en-GB"/>
        </w:rPr>
      </w:pPr>
      <w:r w:rsidRPr="00C25390">
        <w:rPr>
          <w:rFonts w:eastAsia="Times New Roman"/>
          <w:lang w:val="en-GB" w:eastAsia="en-GB"/>
        </w:rPr>
        <w:t xml:space="preserve">The ‘convenience’ </w:t>
      </w:r>
      <w:r w:rsidR="00C25390">
        <w:rPr>
          <w:rFonts w:eastAsia="Times New Roman"/>
          <w:lang w:val="en-GB" w:eastAsia="en-GB"/>
        </w:rPr>
        <w:t>aspect</w:t>
      </w:r>
      <w:r w:rsidRPr="00C25390">
        <w:rPr>
          <w:rFonts w:eastAsia="Times New Roman"/>
          <w:lang w:val="en-GB" w:eastAsia="en-GB"/>
        </w:rPr>
        <w:t xml:space="preserve"> is an important factor in relation to conservatism. </w:t>
      </w:r>
      <w:r w:rsidR="00C25390">
        <w:rPr>
          <w:rFonts w:eastAsia="Times New Roman"/>
          <w:lang w:val="en-GB" w:eastAsia="en-GB"/>
        </w:rPr>
        <w:t xml:space="preserve"> </w:t>
      </w:r>
      <w:r w:rsidRPr="00C25390">
        <w:rPr>
          <w:rFonts w:eastAsia="Times New Roman"/>
          <w:lang w:val="en-GB" w:eastAsia="en-GB"/>
        </w:rPr>
        <w:t xml:space="preserve">For example, when assessing sealed sources, it may be convenient to treat all the sources as if they have the highest inventory, in a single bounding case. </w:t>
      </w:r>
      <w:r w:rsidR="00C25390">
        <w:rPr>
          <w:rFonts w:eastAsia="Times New Roman"/>
          <w:lang w:val="en-GB" w:eastAsia="en-GB"/>
        </w:rPr>
        <w:t xml:space="preserve"> </w:t>
      </w:r>
      <w:r w:rsidRPr="00C25390">
        <w:rPr>
          <w:rFonts w:eastAsia="Times New Roman"/>
          <w:lang w:val="en-GB" w:eastAsia="en-GB"/>
        </w:rPr>
        <w:t xml:space="preserve">As long as this does not cause any problems, e.g. requiring a </w:t>
      </w:r>
      <w:r w:rsidR="00C25390">
        <w:rPr>
          <w:rFonts w:eastAsia="Times New Roman"/>
          <w:lang w:val="en-GB" w:eastAsia="en-GB"/>
        </w:rPr>
        <w:t xml:space="preserve">much </w:t>
      </w:r>
      <w:r w:rsidRPr="00C25390">
        <w:rPr>
          <w:rFonts w:eastAsia="Times New Roman"/>
          <w:lang w:val="en-GB" w:eastAsia="en-GB"/>
        </w:rPr>
        <w:t xml:space="preserve">too onerous approach to the lower inventory sources, this conservatism is not only harmless, it’s also an approach to be recommended, simplifying the safety case significantly, and reducing the amount of effort required to make the safety case. </w:t>
      </w:r>
      <w:r w:rsidR="00C25390">
        <w:rPr>
          <w:rFonts w:eastAsia="Times New Roman"/>
          <w:lang w:val="en-GB" w:eastAsia="en-GB"/>
        </w:rPr>
        <w:t xml:space="preserve"> </w:t>
      </w:r>
      <w:r w:rsidRPr="00C25390">
        <w:rPr>
          <w:rFonts w:eastAsia="Times New Roman"/>
          <w:lang w:val="en-GB" w:eastAsia="en-GB"/>
        </w:rPr>
        <w:t xml:space="preserve">Another common ‘conservatism for convenience’ is to assume that consequences for PSA are the same as consequences for DBA. </w:t>
      </w:r>
      <w:r w:rsidR="00C25390">
        <w:rPr>
          <w:rFonts w:eastAsia="Times New Roman"/>
          <w:lang w:val="en-GB" w:eastAsia="en-GB"/>
        </w:rPr>
        <w:t xml:space="preserve"> </w:t>
      </w:r>
      <w:r w:rsidRPr="00C25390">
        <w:rPr>
          <w:rFonts w:eastAsia="Times New Roman"/>
          <w:lang w:val="en-GB" w:eastAsia="en-GB"/>
        </w:rPr>
        <w:t>Understanding the level of conservatism in references and data sources is important for understanding the overall conservatism in any particular case.</w:t>
      </w:r>
    </w:p>
    <w:p w14:paraId="3ECB744D" w14:textId="77777777" w:rsidR="00CF796F" w:rsidRPr="00C25390" w:rsidRDefault="0087786B" w:rsidP="00C25390">
      <w:pPr>
        <w:pStyle w:val="ListParagraph"/>
        <w:widowControl/>
        <w:autoSpaceDE/>
        <w:autoSpaceDN/>
        <w:spacing w:before="120" w:after="120"/>
        <w:ind w:left="851" w:firstLine="0"/>
        <w:rPr>
          <w:rFonts w:eastAsia="Times New Roman"/>
          <w:lang w:val="en-GB" w:eastAsia="en-GB"/>
        </w:rPr>
      </w:pPr>
      <w:r w:rsidRPr="00C25390">
        <w:rPr>
          <w:rFonts w:eastAsia="Times New Roman"/>
          <w:lang w:val="en-GB" w:eastAsia="en-GB"/>
        </w:rPr>
        <w:t>It is sometimes unclear whether a conservatism is used to address uncertainty, or for convenience, or for a mixture of the two</w:t>
      </w:r>
      <w:r w:rsidR="00711F0C">
        <w:rPr>
          <w:rFonts w:eastAsia="Times New Roman"/>
          <w:lang w:val="en-GB" w:eastAsia="en-GB"/>
        </w:rPr>
        <w:t>, a</w:t>
      </w:r>
      <w:r w:rsidRPr="00C25390">
        <w:rPr>
          <w:rFonts w:eastAsia="Times New Roman"/>
          <w:lang w:val="en-GB" w:eastAsia="en-GB"/>
        </w:rPr>
        <w:t>nd in some cases, the author does not</w:t>
      </w:r>
      <w:r w:rsidR="00C25390">
        <w:rPr>
          <w:rFonts w:eastAsia="Times New Roman"/>
          <w:lang w:val="en-GB" w:eastAsia="en-GB"/>
        </w:rPr>
        <w:t xml:space="preserve"> </w:t>
      </w:r>
      <w:r w:rsidRPr="00C25390">
        <w:rPr>
          <w:rFonts w:eastAsia="Times New Roman"/>
          <w:lang w:val="en-GB" w:eastAsia="en-GB"/>
        </w:rPr>
        <w:t xml:space="preserve">make it clear that a conservatism has been </w:t>
      </w:r>
      <w:r w:rsidR="00711F0C">
        <w:rPr>
          <w:rFonts w:eastAsia="Times New Roman"/>
          <w:lang w:val="en-GB" w:eastAsia="en-GB"/>
        </w:rPr>
        <w:t>incorporated at all</w:t>
      </w:r>
      <w:r w:rsidRPr="00C25390">
        <w:rPr>
          <w:rFonts w:eastAsia="Times New Roman"/>
          <w:lang w:val="en-GB" w:eastAsia="en-GB"/>
        </w:rPr>
        <w:t>.</w:t>
      </w:r>
      <w:r w:rsidR="00711F0C">
        <w:rPr>
          <w:rFonts w:eastAsia="Times New Roman"/>
          <w:lang w:val="en-GB" w:eastAsia="en-GB"/>
        </w:rPr>
        <w:t xml:space="preserve"> </w:t>
      </w:r>
      <w:r w:rsidRPr="00C25390">
        <w:rPr>
          <w:rFonts w:eastAsia="Times New Roman"/>
          <w:lang w:val="en-GB" w:eastAsia="en-GB"/>
        </w:rPr>
        <w:t xml:space="preserve"> In general, conservatisms (and areas of optimism or uncertainty) should be identified as such.</w:t>
      </w:r>
    </w:p>
    <w:p w14:paraId="1E39838B" w14:textId="77777777" w:rsidR="00CF796F" w:rsidRPr="00711F0C" w:rsidRDefault="0087786B" w:rsidP="00711F0C">
      <w:pPr>
        <w:pStyle w:val="ListParagraph"/>
        <w:widowControl/>
        <w:autoSpaceDE/>
        <w:autoSpaceDN/>
        <w:spacing w:before="120" w:after="120"/>
        <w:ind w:left="851" w:firstLine="0"/>
        <w:rPr>
          <w:rFonts w:eastAsia="Times New Roman"/>
          <w:lang w:val="en-GB" w:eastAsia="en-GB"/>
        </w:rPr>
      </w:pPr>
      <w:r w:rsidRPr="00C25390">
        <w:rPr>
          <w:rFonts w:eastAsia="Times New Roman"/>
          <w:lang w:val="en-GB" w:eastAsia="en-GB"/>
        </w:rPr>
        <w:t xml:space="preserve">In general, it is helpful to reduce the unquantified conservatism in order to demonstrate a larger quantified margin to a safety case limit. </w:t>
      </w:r>
      <w:r w:rsidR="00711F0C">
        <w:rPr>
          <w:rFonts w:eastAsia="Times New Roman"/>
          <w:lang w:val="en-GB" w:eastAsia="en-GB"/>
        </w:rPr>
        <w:t xml:space="preserve"> </w:t>
      </w:r>
      <w:r w:rsidRPr="00C25390">
        <w:rPr>
          <w:rFonts w:eastAsia="Times New Roman"/>
          <w:lang w:val="en-GB" w:eastAsia="en-GB"/>
        </w:rPr>
        <w:t>This is especially beneficial if the margins are eroded or threatened for some reason.</w:t>
      </w:r>
    </w:p>
    <w:p w14:paraId="1F782F9C" w14:textId="77777777" w:rsidR="00CF796F" w:rsidRDefault="00ED2C08" w:rsidP="00CF0294">
      <w:pPr>
        <w:pStyle w:val="Heading2"/>
      </w:pPr>
      <w:bookmarkStart w:id="25" w:name="_Toc50110447"/>
      <w:r>
        <w:t>3.1</w:t>
      </w:r>
      <w:r>
        <w:tab/>
      </w:r>
      <w:r w:rsidR="0087786B">
        <w:t>Relevant legislation</w:t>
      </w:r>
      <w:bookmarkEnd w:id="25"/>
    </w:p>
    <w:p w14:paraId="60C72B6B"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 xml:space="preserve">This document has been generated with consideration of </w:t>
      </w:r>
      <w:r w:rsidR="00CF0294">
        <w:rPr>
          <w:rFonts w:eastAsia="Times New Roman"/>
          <w:lang w:val="en-GB" w:eastAsia="en-GB"/>
        </w:rPr>
        <w:t xml:space="preserve">the </w:t>
      </w:r>
      <w:r w:rsidRPr="00CF0294">
        <w:rPr>
          <w:rFonts w:eastAsia="Times New Roman"/>
          <w:lang w:val="en-GB" w:eastAsia="en-GB"/>
        </w:rPr>
        <w:t xml:space="preserve">relevant health and safety legislation. </w:t>
      </w:r>
      <w:r w:rsidR="00CF0294">
        <w:rPr>
          <w:rFonts w:eastAsia="Times New Roman"/>
          <w:lang w:val="en-GB" w:eastAsia="en-GB"/>
        </w:rPr>
        <w:t xml:space="preserve"> </w:t>
      </w:r>
      <w:r w:rsidRPr="00CF0294">
        <w:rPr>
          <w:rFonts w:eastAsia="Times New Roman"/>
          <w:lang w:val="en-GB" w:eastAsia="en-GB"/>
        </w:rPr>
        <w:t>Where appropriate</w:t>
      </w:r>
      <w:r w:rsidR="00CF0294">
        <w:rPr>
          <w:rFonts w:eastAsia="Times New Roman"/>
          <w:lang w:val="en-GB" w:eastAsia="en-GB"/>
        </w:rPr>
        <w:t>,</w:t>
      </w:r>
      <w:r w:rsidRPr="00CF0294">
        <w:rPr>
          <w:rFonts w:eastAsia="Times New Roman"/>
          <w:lang w:val="en-GB" w:eastAsia="en-GB"/>
        </w:rPr>
        <w:t xml:space="preserve"> legislation has been referenced, but the primary legislation that has influenced this document is:</w:t>
      </w:r>
    </w:p>
    <w:p w14:paraId="53D9871B" w14:textId="77777777" w:rsidR="00CF796F" w:rsidRPr="00CF0294"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Health and Safety at Work etc Act 1974</w:t>
      </w:r>
      <w:r w:rsidR="00CF0294">
        <w:rPr>
          <w:rFonts w:eastAsia="Times New Roman" w:cs="Times New Roman"/>
          <w:lang w:val="en-GB" w:eastAsia="en-GB"/>
        </w:rPr>
        <w:t>.</w:t>
      </w:r>
    </w:p>
    <w:p w14:paraId="5B20EB7A" w14:textId="77777777" w:rsidR="00CF796F"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The Nuclear Installations Act 1965</w:t>
      </w:r>
      <w:r w:rsidR="00CF0294">
        <w:rPr>
          <w:rFonts w:eastAsia="Times New Roman" w:cs="Times New Roman"/>
          <w:lang w:val="en-GB" w:eastAsia="en-GB"/>
        </w:rPr>
        <w:t>.</w:t>
      </w:r>
    </w:p>
    <w:p w14:paraId="18F68AE7" w14:textId="77777777" w:rsidR="00CF0294" w:rsidRPr="00CF0294" w:rsidRDefault="00CF0294" w:rsidP="00CF0294">
      <w:pPr>
        <w:pStyle w:val="ListParagraph"/>
        <w:widowControl/>
        <w:autoSpaceDE/>
        <w:autoSpaceDN/>
        <w:spacing w:before="60" w:after="60"/>
        <w:ind w:left="1418" w:firstLine="0"/>
        <w:contextualSpacing/>
        <w:rPr>
          <w:rFonts w:eastAsia="Times New Roman" w:cs="Times New Roman"/>
          <w:lang w:val="en-GB" w:eastAsia="en-GB"/>
        </w:rPr>
      </w:pPr>
    </w:p>
    <w:p w14:paraId="453B82C1"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 xml:space="preserve">The Nuclear installations Act 1965 requires the licensing of nuclear sites. </w:t>
      </w:r>
      <w:r w:rsidR="00CF0294">
        <w:rPr>
          <w:rFonts w:eastAsia="Times New Roman"/>
          <w:lang w:val="en-GB" w:eastAsia="en-GB"/>
        </w:rPr>
        <w:t xml:space="preserve"> </w:t>
      </w:r>
      <w:r w:rsidRPr="00CF0294">
        <w:rPr>
          <w:rFonts w:eastAsia="Times New Roman"/>
          <w:lang w:val="en-GB" w:eastAsia="en-GB"/>
        </w:rPr>
        <w:t>Standard licence conditions apply, including Licence Condition 14 (Safety documentation).</w:t>
      </w:r>
    </w:p>
    <w:p w14:paraId="171400DB" w14:textId="77777777" w:rsidR="00CF796F" w:rsidRDefault="0087786B" w:rsidP="00826413">
      <w:pPr>
        <w:pStyle w:val="Heading1"/>
      </w:pPr>
      <w:bookmarkStart w:id="26" w:name="_Toc50110448"/>
      <w:r>
        <w:lastRenderedPageBreak/>
        <w:t>Guiding Principles/Concepts</w:t>
      </w:r>
      <w:bookmarkEnd w:id="26"/>
    </w:p>
    <w:p w14:paraId="757183C2"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Management of uncertainties is a fundamental part of safety analysis.</w:t>
      </w:r>
    </w:p>
    <w:p w14:paraId="1ED89E24"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Over-conservatism, as well as under-conservatism, can be the enemy of safety.</w:t>
      </w:r>
    </w:p>
    <w:p w14:paraId="77379DDF"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 xml:space="preserve">The effect of combining individual conservatisms is not just cumulative; it can be multiplicative, resulting in major over-estimates in assessed results. </w:t>
      </w:r>
      <w:r w:rsidR="00CF0294">
        <w:rPr>
          <w:rFonts w:eastAsia="Times New Roman"/>
          <w:lang w:val="en-GB" w:eastAsia="en-GB"/>
        </w:rPr>
        <w:t xml:space="preserve"> </w:t>
      </w:r>
      <w:r w:rsidRPr="00CF0294">
        <w:rPr>
          <w:rFonts w:eastAsia="Times New Roman"/>
          <w:lang w:val="en-GB" w:eastAsia="en-GB"/>
        </w:rPr>
        <w:t>Combining conservative values of multiple input values can easily lead to a ridiculously unrealistic output value, without the knowledge of the analyst.</w:t>
      </w:r>
    </w:p>
    <w:p w14:paraId="2BB06933" w14:textId="77777777" w:rsidR="00CF796F"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 xml:space="preserve">It is important to achieve a balance between under-conservatism and over- conservatism: </w:t>
      </w:r>
      <w:r w:rsidR="00CF0294">
        <w:rPr>
          <w:rFonts w:eastAsia="Times New Roman"/>
          <w:lang w:val="en-GB" w:eastAsia="en-GB"/>
        </w:rPr>
        <w:t xml:space="preserve">i.e. there should be </w:t>
      </w:r>
      <w:r w:rsidRPr="00CF0294">
        <w:rPr>
          <w:rFonts w:eastAsia="Times New Roman"/>
          <w:lang w:val="en-GB" w:eastAsia="en-GB"/>
        </w:rPr>
        <w:t>appropriate conservatism.</w:t>
      </w:r>
    </w:p>
    <w:p w14:paraId="29C0A6AA" w14:textId="77777777" w:rsidR="00C73DB2" w:rsidRDefault="00C73DB2">
      <w:pPr>
        <w:rPr>
          <w:rFonts w:eastAsia="Times New Roman"/>
          <w:lang w:val="en-GB" w:eastAsia="en-GB"/>
        </w:rPr>
      </w:pPr>
      <w:r>
        <w:rPr>
          <w:rFonts w:eastAsia="Times New Roman"/>
          <w:lang w:val="en-GB" w:eastAsia="en-GB"/>
        </w:rPr>
        <w:br w:type="page"/>
      </w:r>
    </w:p>
    <w:p w14:paraId="5EC69921" w14:textId="77777777" w:rsidR="00CF796F" w:rsidRDefault="0087786B" w:rsidP="00826413">
      <w:pPr>
        <w:pStyle w:val="Heading1"/>
      </w:pPr>
      <w:bookmarkStart w:id="27" w:name="_Toc50110449"/>
      <w:r>
        <w:lastRenderedPageBreak/>
        <w:t>Over-</w:t>
      </w:r>
      <w:r w:rsidR="00222527">
        <w:t>C</w:t>
      </w:r>
      <w:r>
        <w:t>onservatism</w:t>
      </w:r>
      <w:bookmarkEnd w:id="27"/>
    </w:p>
    <w:p w14:paraId="03ED6ADF"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The symptoms of an overly-conservative safety case include:</w:t>
      </w:r>
    </w:p>
    <w:p w14:paraId="4629A55C" w14:textId="77777777" w:rsidR="00CF796F" w:rsidRPr="00CF0294"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The safety case is larger and more complex than expected, with excessive production costs</w:t>
      </w:r>
      <w:r w:rsidR="00222527">
        <w:rPr>
          <w:rFonts w:eastAsia="Times New Roman" w:cs="Times New Roman"/>
          <w:lang w:val="en-GB" w:eastAsia="en-GB"/>
        </w:rPr>
        <w:t>;</w:t>
      </w:r>
    </w:p>
    <w:p w14:paraId="46B984AD" w14:textId="77777777" w:rsidR="00CF796F" w:rsidRPr="00CF0294"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Many shortfalls are identified, while a similar (or higher hazard) facility elsewhere that has gone through a valid safety case process has very few or no shortfalls</w:t>
      </w:r>
      <w:r w:rsidR="00222527">
        <w:rPr>
          <w:rFonts w:eastAsia="Times New Roman" w:cs="Times New Roman"/>
          <w:lang w:val="en-GB" w:eastAsia="en-GB"/>
        </w:rPr>
        <w:t>;</w:t>
      </w:r>
    </w:p>
    <w:p w14:paraId="5623BAE9" w14:textId="77777777" w:rsidR="00CF796F" w:rsidRPr="00CF0294"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The requirement for safety measures (both engineered and operational) is very high in comparison to a similar (or higher hazard) facility elsewhere</w:t>
      </w:r>
      <w:r w:rsidR="00222527">
        <w:rPr>
          <w:rFonts w:eastAsia="Times New Roman" w:cs="Times New Roman"/>
          <w:lang w:val="en-GB" w:eastAsia="en-GB"/>
        </w:rPr>
        <w:t>;</w:t>
      </w:r>
    </w:p>
    <w:p w14:paraId="33C66339" w14:textId="77777777" w:rsidR="00CF796F"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The safety case owner and other stakeholders find the safety case to be</w:t>
      </w:r>
      <w:r w:rsidR="00222527">
        <w:rPr>
          <w:rFonts w:eastAsia="Times New Roman" w:cs="Times New Roman"/>
          <w:lang w:val="en-GB" w:eastAsia="en-GB"/>
        </w:rPr>
        <w:t>,</w:t>
      </w:r>
      <w:r w:rsidRPr="00CF0294">
        <w:rPr>
          <w:rFonts w:eastAsia="Times New Roman" w:cs="Times New Roman"/>
          <w:lang w:val="en-GB" w:eastAsia="en-GB"/>
        </w:rPr>
        <w:t xml:space="preserve"> not credible.</w:t>
      </w:r>
    </w:p>
    <w:p w14:paraId="5CD94EBB" w14:textId="77777777" w:rsidR="00CF0294" w:rsidRPr="00CF0294" w:rsidRDefault="00CF0294" w:rsidP="00CF0294">
      <w:pPr>
        <w:pStyle w:val="ListParagraph"/>
        <w:widowControl/>
        <w:autoSpaceDE/>
        <w:autoSpaceDN/>
        <w:spacing w:before="60" w:after="60"/>
        <w:ind w:left="1418" w:firstLine="0"/>
        <w:contextualSpacing/>
        <w:rPr>
          <w:rFonts w:eastAsia="Times New Roman" w:cs="Times New Roman"/>
          <w:lang w:val="en-GB" w:eastAsia="en-GB"/>
        </w:rPr>
      </w:pPr>
    </w:p>
    <w:p w14:paraId="17AE51A6"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Many of these symptoms might have other causes apart from over-conservatism, so caution must be applied.</w:t>
      </w:r>
    </w:p>
    <w:p w14:paraId="157F0E7F" w14:textId="4BB80973" w:rsidR="00CF796F" w:rsidRDefault="0087786B" w:rsidP="00CF0294">
      <w:pPr>
        <w:pStyle w:val="ListParagraph"/>
        <w:widowControl/>
        <w:autoSpaceDE/>
        <w:autoSpaceDN/>
        <w:spacing w:before="120" w:after="120"/>
        <w:ind w:left="851" w:firstLine="0"/>
      </w:pPr>
      <w:r w:rsidRPr="00826413">
        <w:rPr>
          <w:rFonts w:eastAsia="Times New Roman"/>
          <w:color w:val="000000" w:themeColor="text1"/>
          <w:lang w:val="en-GB" w:eastAsia="en-GB"/>
        </w:rPr>
        <w:t xml:space="preserve">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_Ref50109662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3</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states: </w:t>
      </w:r>
      <w:r w:rsidRPr="00CF0294">
        <w:rPr>
          <w:rFonts w:eastAsia="Times New Roman"/>
          <w:lang w:val="en-GB" w:eastAsia="en-GB"/>
        </w:rPr>
        <w:t xml:space="preserve">‘The use of a conservative methodology may be so conservative that important safety issues may be masked.’ </w:t>
      </w:r>
      <w:r w:rsidR="00222527">
        <w:rPr>
          <w:rFonts w:eastAsia="Times New Roman"/>
          <w:lang w:val="en-GB" w:eastAsia="en-GB"/>
        </w:rPr>
        <w:t xml:space="preserve"> </w:t>
      </w:r>
      <w:r w:rsidRPr="00CF0294">
        <w:rPr>
          <w:rFonts w:eastAsia="Times New Roman"/>
          <w:lang w:val="en-GB" w:eastAsia="en-GB"/>
        </w:rPr>
        <w:t>If there are elements of the PSA that are conservative while the other elements are best-estimate, the understanding of where the highest risks lie may be skewed.</w:t>
      </w:r>
      <w:r w:rsidR="00222527">
        <w:rPr>
          <w:rFonts w:eastAsia="Times New Roman"/>
          <w:lang w:val="en-GB" w:eastAsia="en-GB"/>
        </w:rPr>
        <w:t xml:space="preserve"> </w:t>
      </w:r>
      <w:r w:rsidRPr="00CF0294">
        <w:rPr>
          <w:rFonts w:eastAsia="Times New Roman"/>
          <w:lang w:val="en-GB" w:eastAsia="en-GB"/>
        </w:rPr>
        <w:t xml:space="preserve"> Another effect of an overly-conservative safety case can be that the safety case suffers from a lack of credibility.</w:t>
      </w:r>
      <w:r w:rsidR="00222527">
        <w:rPr>
          <w:rFonts w:eastAsia="Times New Roman"/>
          <w:lang w:val="en-GB" w:eastAsia="en-GB"/>
        </w:rPr>
        <w:t xml:space="preserve"> </w:t>
      </w:r>
      <w:r w:rsidRPr="00CF0294">
        <w:rPr>
          <w:rFonts w:eastAsia="Times New Roman"/>
          <w:lang w:val="en-GB" w:eastAsia="en-GB"/>
        </w:rPr>
        <w:t xml:space="preserve"> Even more</w:t>
      </w:r>
      <w:r w:rsidR="00CF0294">
        <w:rPr>
          <w:rFonts w:eastAsia="Times New Roman"/>
          <w:lang w:val="en-GB" w:eastAsia="en-GB"/>
        </w:rPr>
        <w:t xml:space="preserve"> </w:t>
      </w:r>
      <w:r>
        <w:t xml:space="preserve">seriously, it can result in a solution that </w:t>
      </w:r>
      <w:r w:rsidRPr="00222527">
        <w:rPr>
          <w:b/>
          <w:bCs/>
        </w:rPr>
        <w:t>does not</w:t>
      </w:r>
      <w:r>
        <w:t xml:space="preserve"> give an overall risk that is As Low </w:t>
      </w:r>
      <w:proofErr w:type="gramStart"/>
      <w:r>
        <w:t>As</w:t>
      </w:r>
      <w:proofErr w:type="gramEnd"/>
      <w:r>
        <w:t xml:space="preserve"> Reasonably Practicable (ALARP):</w:t>
      </w:r>
    </w:p>
    <w:p w14:paraId="465BD2A9" w14:textId="77777777" w:rsidR="00CF796F" w:rsidRPr="00CF0294"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 xml:space="preserve">If the accident analysis is overly-conservative, there may be additional requirements for maintenance workers to carry out examination, inspection, maintenance and/or testing, and this may result in maintenance workers receiving significant doses over time. </w:t>
      </w:r>
      <w:r w:rsidR="00222527">
        <w:rPr>
          <w:rFonts w:eastAsia="Times New Roman" w:cs="Times New Roman"/>
          <w:lang w:val="en-GB" w:eastAsia="en-GB"/>
        </w:rPr>
        <w:t xml:space="preserve"> </w:t>
      </w:r>
      <w:r w:rsidRPr="00CF0294">
        <w:rPr>
          <w:rFonts w:eastAsia="Times New Roman" w:cs="Times New Roman"/>
          <w:lang w:val="en-GB" w:eastAsia="en-GB"/>
        </w:rPr>
        <w:t>This may apparently be an overall risk benefit, but once the conservatisms are removed, it may become clear that the holistic risk is actually higher because of the safety case requirements.</w:t>
      </w:r>
    </w:p>
    <w:p w14:paraId="4BAD83E5" w14:textId="77777777" w:rsidR="00CF796F" w:rsidRDefault="0087786B" w:rsidP="00CF029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CF0294">
        <w:rPr>
          <w:rFonts w:eastAsia="Times New Roman" w:cs="Times New Roman"/>
          <w:lang w:val="en-GB" w:eastAsia="en-GB"/>
        </w:rPr>
        <w:t>Decommissioning may be delayed because of the complexity of implementing the safety case, whereas a more reasonably conservative safety case would have allowed quicker implementation, and earlier removal of the hazard.</w:t>
      </w:r>
    </w:p>
    <w:p w14:paraId="5AA9D49D" w14:textId="77777777" w:rsidR="00CF0294" w:rsidRPr="00CF0294" w:rsidRDefault="00CF0294" w:rsidP="00CF0294">
      <w:pPr>
        <w:pStyle w:val="ListParagraph"/>
        <w:widowControl/>
        <w:autoSpaceDE/>
        <w:autoSpaceDN/>
        <w:spacing w:before="60" w:after="60"/>
        <w:ind w:left="1418" w:firstLine="0"/>
        <w:contextualSpacing/>
        <w:rPr>
          <w:rFonts w:eastAsia="Times New Roman" w:cs="Times New Roman"/>
          <w:lang w:val="en-GB" w:eastAsia="en-GB"/>
        </w:rPr>
      </w:pPr>
    </w:p>
    <w:p w14:paraId="404E5E81" w14:textId="77777777" w:rsidR="00CF796F" w:rsidRPr="00222527" w:rsidRDefault="0087786B" w:rsidP="00CF0294">
      <w:pPr>
        <w:pStyle w:val="ListParagraph"/>
        <w:widowControl/>
        <w:autoSpaceDE/>
        <w:autoSpaceDN/>
        <w:spacing w:before="120" w:after="120"/>
        <w:ind w:left="851" w:firstLine="0"/>
        <w:rPr>
          <w:rFonts w:eastAsia="Times New Roman"/>
          <w:b/>
          <w:bCs/>
          <w:lang w:val="en-GB" w:eastAsia="en-GB"/>
        </w:rPr>
      </w:pPr>
      <w:r w:rsidRPr="00222527">
        <w:rPr>
          <w:b/>
          <w:bCs/>
          <w:i/>
          <w:iCs/>
        </w:rPr>
        <w:t>Thus</w:t>
      </w:r>
      <w:r w:rsidR="00CF0294" w:rsidRPr="00222527">
        <w:rPr>
          <w:b/>
          <w:bCs/>
          <w:i/>
          <w:iCs/>
        </w:rPr>
        <w:t>,</w:t>
      </w:r>
      <w:r w:rsidRPr="00222527">
        <w:rPr>
          <w:b/>
          <w:bCs/>
          <w:i/>
          <w:iCs/>
        </w:rPr>
        <w:t xml:space="preserve"> over-conservatism, as well as under-conservatism, can be the </w:t>
      </w:r>
      <w:r w:rsidRPr="00222527">
        <w:rPr>
          <w:rFonts w:eastAsia="Times New Roman"/>
          <w:b/>
          <w:bCs/>
          <w:lang w:val="en-GB" w:eastAsia="en-GB"/>
        </w:rPr>
        <w:t>enemy of safety.</w:t>
      </w:r>
    </w:p>
    <w:p w14:paraId="198C620B" w14:textId="77777777" w:rsidR="00CF796F" w:rsidRPr="00CF0294" w:rsidRDefault="0087786B" w:rsidP="00CF0294">
      <w:pPr>
        <w:pStyle w:val="ListParagraph"/>
        <w:widowControl/>
        <w:autoSpaceDE/>
        <w:autoSpaceDN/>
        <w:spacing w:before="120" w:after="120"/>
        <w:ind w:left="851" w:firstLine="0"/>
        <w:rPr>
          <w:rFonts w:eastAsia="Times New Roman"/>
          <w:lang w:val="en-GB" w:eastAsia="en-GB"/>
        </w:rPr>
      </w:pPr>
      <w:r w:rsidRPr="00CF0294">
        <w:rPr>
          <w:rFonts w:eastAsia="Times New Roman"/>
          <w:lang w:val="en-GB" w:eastAsia="en-GB"/>
        </w:rPr>
        <w:t xml:space="preserve">Unfortunately, it is relatively easy to construct a safety case that is overly-conservative. </w:t>
      </w:r>
      <w:r w:rsidR="00222527">
        <w:rPr>
          <w:rFonts w:eastAsia="Times New Roman"/>
          <w:lang w:val="en-GB" w:eastAsia="en-GB"/>
        </w:rPr>
        <w:t xml:space="preserve"> </w:t>
      </w:r>
      <w:r w:rsidRPr="00CF0294">
        <w:rPr>
          <w:rFonts w:eastAsia="Times New Roman"/>
          <w:lang w:val="en-GB" w:eastAsia="en-GB"/>
        </w:rPr>
        <w:t xml:space="preserve">This derives from combining conservative assumptions. </w:t>
      </w:r>
      <w:r w:rsidR="00222527">
        <w:rPr>
          <w:rFonts w:eastAsia="Times New Roman"/>
          <w:lang w:val="en-GB" w:eastAsia="en-GB"/>
        </w:rPr>
        <w:t xml:space="preserve"> </w:t>
      </w:r>
      <w:r w:rsidRPr="00CF0294">
        <w:rPr>
          <w:rFonts w:eastAsia="Times New Roman"/>
          <w:lang w:val="en-GB" w:eastAsia="en-GB"/>
        </w:rPr>
        <w:t xml:space="preserve">For example, in a consequence analysis associated with an airborne release of activity, there are usually many factors (including inventory, release fractions, decontamination factors etc.) that have some uncertainty associated with them. </w:t>
      </w:r>
      <w:r w:rsidR="00222527">
        <w:rPr>
          <w:rFonts w:eastAsia="Times New Roman"/>
          <w:lang w:val="en-GB" w:eastAsia="en-GB"/>
        </w:rPr>
        <w:t xml:space="preserve"> </w:t>
      </w:r>
      <w:r w:rsidRPr="00CF0294">
        <w:rPr>
          <w:rFonts w:eastAsia="Times New Roman"/>
          <w:lang w:val="en-GB" w:eastAsia="en-GB"/>
        </w:rPr>
        <w:t xml:space="preserve">Taking only these three parameters, if each of these uses a conservative value that is ten times worse than the best-estimate, the assessed dose to a worker would be 1,000 times the best- estimate dose, and most safety case professionals would regard the assessed dose in this case as overly-conservative. </w:t>
      </w:r>
      <w:r w:rsidR="00222527">
        <w:rPr>
          <w:rFonts w:eastAsia="Times New Roman"/>
          <w:lang w:val="en-GB" w:eastAsia="en-GB"/>
        </w:rPr>
        <w:t xml:space="preserve"> </w:t>
      </w:r>
      <w:r w:rsidRPr="00CF0294">
        <w:rPr>
          <w:rFonts w:eastAsia="Times New Roman"/>
          <w:b/>
          <w:bCs/>
          <w:lang w:val="en-GB" w:eastAsia="en-GB"/>
        </w:rPr>
        <w:t>The effect of combining individual conservatisms is not just cumulative; it can be multiplicative, resulting in major over-estimates in assessed results</w:t>
      </w:r>
      <w:r w:rsidRPr="00CF0294">
        <w:rPr>
          <w:rFonts w:eastAsia="Times New Roman"/>
          <w:lang w:val="en-GB" w:eastAsia="en-GB"/>
        </w:rPr>
        <w:t xml:space="preserve">. </w:t>
      </w:r>
      <w:r w:rsidR="00222527">
        <w:rPr>
          <w:rFonts w:eastAsia="Times New Roman"/>
          <w:lang w:val="en-GB" w:eastAsia="en-GB"/>
        </w:rPr>
        <w:t xml:space="preserve"> </w:t>
      </w:r>
      <w:r w:rsidRPr="00CF0294">
        <w:rPr>
          <w:rFonts w:eastAsia="Times New Roman"/>
          <w:lang w:val="en-GB" w:eastAsia="en-GB"/>
        </w:rPr>
        <w:t>The significance of this multiplicative effect is often not appreciated.</w:t>
      </w:r>
      <w:r w:rsidR="00222527">
        <w:rPr>
          <w:rFonts w:eastAsia="Times New Roman"/>
          <w:lang w:val="en-GB" w:eastAsia="en-GB"/>
        </w:rPr>
        <w:t xml:space="preserve"> </w:t>
      </w:r>
      <w:r w:rsidRPr="00CF0294">
        <w:rPr>
          <w:rFonts w:eastAsia="Times New Roman"/>
          <w:lang w:val="en-GB" w:eastAsia="en-GB"/>
        </w:rPr>
        <w:t xml:space="preserve"> The same effect applies in theory to under-conservatisms, but these are rarer, and any under-conservatisms are usually combined with over-conservatisms rather than with other under-conservatisms.</w:t>
      </w:r>
    </w:p>
    <w:p w14:paraId="3999F80B" w14:textId="07A0104D" w:rsidR="00CF796F" w:rsidRPr="00C73DB2" w:rsidRDefault="0087786B" w:rsidP="00C73DB2">
      <w:pPr>
        <w:pStyle w:val="ListParagraph"/>
        <w:widowControl/>
        <w:autoSpaceDE/>
        <w:autoSpaceDN/>
        <w:spacing w:before="120" w:after="120"/>
        <w:ind w:left="851" w:firstLine="0"/>
        <w:rPr>
          <w:rFonts w:eastAsia="Times New Roman"/>
          <w:lang w:val="en-GB" w:eastAsia="en-GB"/>
        </w:rPr>
      </w:pPr>
      <w:r w:rsidRPr="00C73DB2">
        <w:rPr>
          <w:rFonts w:eastAsia="Times New Roman"/>
          <w:lang w:val="en-GB" w:eastAsia="en-GB"/>
        </w:rPr>
        <w:t xml:space="preserve">Appendix A, which refers out </w:t>
      </w:r>
      <w:r w:rsidRPr="00826413">
        <w:rPr>
          <w:rFonts w:eastAsia="Times New Roman"/>
          <w:color w:val="000000" w:themeColor="text1"/>
          <w:lang w:val="en-GB" w:eastAsia="en-GB"/>
        </w:rPr>
        <w:t xml:space="preserve">to 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_Ref50109898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2</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concludes </w:t>
      </w:r>
      <w:r w:rsidRPr="00C73DB2">
        <w:rPr>
          <w:rFonts w:eastAsia="Times New Roman"/>
          <w:lang w:val="en-GB" w:eastAsia="en-GB"/>
        </w:rPr>
        <w:t xml:space="preserve">that </w:t>
      </w:r>
      <w:r w:rsidRPr="00C73DB2">
        <w:rPr>
          <w:rFonts w:eastAsia="Times New Roman"/>
          <w:b/>
          <w:bCs/>
          <w:lang w:val="en-GB" w:eastAsia="en-GB"/>
        </w:rPr>
        <w:t>combining conservative values of multiple input values can easily lead to a ridiculously unrealistic output value, without the knowledge of the analyst</w:t>
      </w:r>
      <w:r w:rsidRPr="00C73DB2">
        <w:rPr>
          <w:rFonts w:eastAsia="Times New Roman"/>
          <w:lang w:val="en-GB" w:eastAsia="en-GB"/>
        </w:rPr>
        <w:t>.</w:t>
      </w:r>
    </w:p>
    <w:p w14:paraId="62CD92BD" w14:textId="77777777" w:rsidR="00CF796F" w:rsidRDefault="0087786B" w:rsidP="00C73DB2">
      <w:pPr>
        <w:pStyle w:val="ListParagraph"/>
        <w:widowControl/>
        <w:autoSpaceDE/>
        <w:autoSpaceDN/>
        <w:spacing w:before="120" w:after="120"/>
        <w:ind w:left="851" w:firstLine="0"/>
        <w:rPr>
          <w:rFonts w:eastAsia="Times New Roman"/>
          <w:lang w:val="en-GB" w:eastAsia="en-GB"/>
        </w:rPr>
      </w:pPr>
      <w:r w:rsidRPr="00C73DB2">
        <w:rPr>
          <w:rFonts w:eastAsia="Times New Roman"/>
          <w:lang w:val="en-GB" w:eastAsia="en-GB"/>
        </w:rPr>
        <w:t xml:space="preserve">In one case of over-conservatism, the dose rate from fuel on a ramp was over-estimated and a new gamma interlock system was installed to prevent anyone entering the area and </w:t>
      </w:r>
      <w:r w:rsidRPr="00C73DB2">
        <w:rPr>
          <w:rFonts w:eastAsia="Times New Roman"/>
          <w:lang w:val="en-GB" w:eastAsia="en-GB"/>
        </w:rPr>
        <w:lastRenderedPageBreak/>
        <w:t>receiving a significant dose.</w:t>
      </w:r>
      <w:r w:rsidR="00C73DB2">
        <w:rPr>
          <w:rFonts w:eastAsia="Times New Roman"/>
          <w:lang w:val="en-GB" w:eastAsia="en-GB"/>
        </w:rPr>
        <w:t xml:space="preserve"> </w:t>
      </w:r>
      <w:r w:rsidRPr="00C73DB2">
        <w:rPr>
          <w:rFonts w:eastAsia="Times New Roman"/>
          <w:lang w:val="en-GB" w:eastAsia="en-GB"/>
        </w:rPr>
        <w:t xml:space="preserve"> After installation, the system was checked by bringing fuel up the ramp. </w:t>
      </w:r>
      <w:r w:rsidR="00C73DB2">
        <w:rPr>
          <w:rFonts w:eastAsia="Times New Roman"/>
          <w:lang w:val="en-GB" w:eastAsia="en-GB"/>
        </w:rPr>
        <w:t xml:space="preserve"> </w:t>
      </w:r>
      <w:r w:rsidRPr="00C73DB2">
        <w:rPr>
          <w:rFonts w:eastAsia="Times New Roman"/>
          <w:lang w:val="en-GB" w:eastAsia="en-GB"/>
        </w:rPr>
        <w:t xml:space="preserve">However, the door to the area still opened allowing operator access. </w:t>
      </w:r>
      <w:r w:rsidR="00C73DB2">
        <w:rPr>
          <w:rFonts w:eastAsia="Times New Roman"/>
          <w:lang w:val="en-GB" w:eastAsia="en-GB"/>
        </w:rPr>
        <w:t xml:space="preserve"> </w:t>
      </w:r>
      <w:r w:rsidRPr="00C73DB2">
        <w:rPr>
          <w:rFonts w:eastAsia="Times New Roman"/>
          <w:lang w:val="en-GB" w:eastAsia="en-GB"/>
        </w:rPr>
        <w:t xml:space="preserve">This was not because of system </w:t>
      </w:r>
      <w:r w:rsidR="00C73DB2" w:rsidRPr="00C73DB2">
        <w:rPr>
          <w:rFonts w:eastAsia="Times New Roman"/>
          <w:lang w:val="en-GB" w:eastAsia="en-GB"/>
        </w:rPr>
        <w:t>failure;</w:t>
      </w:r>
      <w:r w:rsidRPr="00C73DB2">
        <w:rPr>
          <w:rFonts w:eastAsia="Times New Roman"/>
          <w:lang w:val="en-GB" w:eastAsia="en-GB"/>
        </w:rPr>
        <w:t xml:space="preserve"> it was because the dose rate from the fuel was too low to trip a gamma interlock or be of any real concern to operators.</w:t>
      </w:r>
      <w:r w:rsidR="00C73DB2">
        <w:rPr>
          <w:rFonts w:eastAsia="Times New Roman"/>
          <w:lang w:val="en-GB" w:eastAsia="en-GB"/>
        </w:rPr>
        <w:t xml:space="preserve"> </w:t>
      </w:r>
      <w:r w:rsidRPr="00C73DB2">
        <w:rPr>
          <w:rFonts w:eastAsia="Times New Roman"/>
          <w:lang w:val="en-GB" w:eastAsia="en-GB"/>
        </w:rPr>
        <w:t xml:space="preserve"> This type of event can bring the whole safety case process into disrepute - not a good result when a safety case author was simply trying to be conservative!</w:t>
      </w:r>
    </w:p>
    <w:p w14:paraId="03834736" w14:textId="77777777" w:rsidR="00C73DB2" w:rsidRDefault="00C73DB2">
      <w:pPr>
        <w:rPr>
          <w:rFonts w:eastAsia="Times New Roman"/>
          <w:lang w:val="en-GB" w:eastAsia="en-GB"/>
        </w:rPr>
      </w:pPr>
      <w:r>
        <w:rPr>
          <w:rFonts w:eastAsia="Times New Roman"/>
          <w:lang w:val="en-GB" w:eastAsia="en-GB"/>
        </w:rPr>
        <w:br w:type="page"/>
      </w:r>
    </w:p>
    <w:p w14:paraId="5E4FA155" w14:textId="77777777" w:rsidR="00CF796F" w:rsidRDefault="0087786B" w:rsidP="00826413">
      <w:pPr>
        <w:pStyle w:val="Heading1"/>
      </w:pPr>
      <w:bookmarkStart w:id="28" w:name="_Toc50110450"/>
      <w:r>
        <w:lastRenderedPageBreak/>
        <w:t>Achieving a Balance between Under-</w:t>
      </w:r>
      <w:r w:rsidR="00C73DB2">
        <w:t>C</w:t>
      </w:r>
      <w:r>
        <w:t>onservatism and Over-</w:t>
      </w:r>
      <w:r w:rsidR="00C73DB2">
        <w:t>C</w:t>
      </w:r>
      <w:r>
        <w:t>onservatism</w:t>
      </w:r>
      <w:r w:rsidR="00C73DB2">
        <w:t xml:space="preserve"> (in</w:t>
      </w:r>
      <w:r>
        <w:t>cluding Examples</w:t>
      </w:r>
      <w:r w:rsidR="00C73DB2">
        <w:t>)</w:t>
      </w:r>
      <w:bookmarkEnd w:id="28"/>
    </w:p>
    <w:p w14:paraId="2FED14FE" w14:textId="24BC3062" w:rsidR="00F1244E" w:rsidRDefault="0087786B" w:rsidP="00C73DB2">
      <w:pPr>
        <w:pStyle w:val="ListParagraph"/>
        <w:widowControl/>
        <w:autoSpaceDE/>
        <w:autoSpaceDN/>
        <w:spacing w:before="120" w:after="120"/>
        <w:ind w:left="851" w:firstLine="0"/>
        <w:rPr>
          <w:rFonts w:eastAsia="Times New Roman"/>
          <w:lang w:val="en-GB" w:eastAsia="en-GB"/>
        </w:rPr>
      </w:pPr>
      <w:r w:rsidRPr="00C73DB2">
        <w:rPr>
          <w:rFonts w:eastAsia="Times New Roman"/>
          <w:lang w:val="en-GB" w:eastAsia="en-GB"/>
        </w:rPr>
        <w:t>Before considering conservatisms that might be over-conservatisms, it is worth reviewing the whole fault analysis to see if there are any ‘</w:t>
      </w:r>
      <w:r w:rsidRPr="00826413">
        <w:rPr>
          <w:rFonts w:eastAsia="Times New Roman"/>
          <w:color w:val="000000" w:themeColor="text1"/>
          <w:lang w:val="en-GB" w:eastAsia="en-GB"/>
        </w:rPr>
        <w:t xml:space="preserve">convenient conservatisms’ (see section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_Ref50109926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3</w:t>
      </w:r>
      <w:r w:rsidR="00826413" w:rsidRPr="00826413">
        <w:rPr>
          <w:rFonts w:eastAsia="Times New Roman"/>
          <w:color w:val="000000" w:themeColor="text1"/>
          <w:lang w:val="en-GB" w:eastAsia="en-GB"/>
        </w:rPr>
        <w:fldChar w:fldCharType="end"/>
      </w:r>
      <w:r w:rsidR="00F1244E" w:rsidRPr="00826413">
        <w:rPr>
          <w:rFonts w:eastAsia="Times New Roman"/>
          <w:color w:val="000000" w:themeColor="text1"/>
          <w:lang w:val="en-GB" w:eastAsia="en-GB"/>
        </w:rPr>
        <w:t xml:space="preserve">  </w:t>
      </w:r>
      <w:r w:rsidRPr="00826413">
        <w:rPr>
          <w:rFonts w:eastAsia="Times New Roman"/>
          <w:color w:val="000000" w:themeColor="text1"/>
          <w:lang w:val="en-GB" w:eastAsia="en-GB"/>
        </w:rPr>
        <w:t xml:space="preserve">on ‘Introduction to </w:t>
      </w:r>
      <w:r w:rsidR="00F1244E" w:rsidRPr="00826413">
        <w:rPr>
          <w:rFonts w:eastAsia="Times New Roman"/>
          <w:color w:val="000000" w:themeColor="text1"/>
          <w:lang w:val="en-GB" w:eastAsia="en-GB"/>
        </w:rPr>
        <w:t xml:space="preserve">the </w:t>
      </w:r>
      <w:r w:rsidRPr="00826413">
        <w:rPr>
          <w:rFonts w:eastAsia="Times New Roman"/>
          <w:color w:val="000000" w:themeColor="text1"/>
          <w:lang w:val="en-GB" w:eastAsia="en-GB"/>
        </w:rPr>
        <w:t>subject matter’) that can eas</w:t>
      </w:r>
      <w:r w:rsidRPr="00C73DB2">
        <w:rPr>
          <w:rFonts w:eastAsia="Times New Roman"/>
          <w:lang w:val="en-GB" w:eastAsia="en-GB"/>
        </w:rPr>
        <w:t>ily be removed.</w:t>
      </w:r>
    </w:p>
    <w:p w14:paraId="354B2951" w14:textId="77777777" w:rsidR="00CF796F" w:rsidRPr="00C73DB2" w:rsidRDefault="0087786B" w:rsidP="00C73DB2">
      <w:pPr>
        <w:pStyle w:val="ListParagraph"/>
        <w:widowControl/>
        <w:autoSpaceDE/>
        <w:autoSpaceDN/>
        <w:spacing w:before="120" w:after="120"/>
        <w:ind w:left="851" w:firstLine="0"/>
        <w:rPr>
          <w:rFonts w:eastAsia="Times New Roman"/>
          <w:lang w:val="en-GB" w:eastAsia="en-GB"/>
        </w:rPr>
      </w:pPr>
      <w:r w:rsidRPr="00C73DB2">
        <w:rPr>
          <w:rFonts w:eastAsia="Times New Roman"/>
          <w:lang w:val="en-GB" w:eastAsia="en-GB"/>
        </w:rPr>
        <w:t xml:space="preserve">This review can be done before any of the safety argument is written down, after it’s all been written down, or at any point in-between. </w:t>
      </w:r>
      <w:r w:rsidR="00F1244E">
        <w:rPr>
          <w:rFonts w:eastAsia="Times New Roman"/>
          <w:lang w:val="en-GB" w:eastAsia="en-GB"/>
        </w:rPr>
        <w:t xml:space="preserve"> </w:t>
      </w:r>
      <w:r w:rsidRPr="00C73DB2">
        <w:rPr>
          <w:rFonts w:eastAsia="Times New Roman"/>
          <w:lang w:val="en-GB" w:eastAsia="en-GB"/>
        </w:rPr>
        <w:t>Sometimes a convenient conservatism was made at the time</w:t>
      </w:r>
      <w:r w:rsidR="00F1244E">
        <w:rPr>
          <w:rFonts w:eastAsia="Times New Roman"/>
          <w:lang w:val="en-GB" w:eastAsia="en-GB"/>
        </w:rPr>
        <w:t>,</w:t>
      </w:r>
      <w:r w:rsidRPr="00C73DB2">
        <w:rPr>
          <w:rFonts w:eastAsia="Times New Roman"/>
          <w:lang w:val="en-GB" w:eastAsia="en-GB"/>
        </w:rPr>
        <w:t xml:space="preserve"> in the belief that the safety case would not be adversely affected, but with subsequent developments, the convenient conservatism</w:t>
      </w:r>
      <w:r w:rsidR="00C73DB2">
        <w:rPr>
          <w:rFonts w:eastAsia="Times New Roman"/>
          <w:lang w:val="en-GB" w:eastAsia="en-GB"/>
        </w:rPr>
        <w:t xml:space="preserve"> </w:t>
      </w:r>
      <w:r w:rsidRPr="00C73DB2">
        <w:rPr>
          <w:rFonts w:eastAsia="Times New Roman"/>
          <w:lang w:val="en-GB" w:eastAsia="en-GB"/>
        </w:rPr>
        <w:t xml:space="preserve">is now decidedly inconvenient! </w:t>
      </w:r>
      <w:r w:rsidR="00F1244E">
        <w:rPr>
          <w:rFonts w:eastAsia="Times New Roman"/>
          <w:lang w:val="en-GB" w:eastAsia="en-GB"/>
        </w:rPr>
        <w:t xml:space="preserve"> </w:t>
      </w:r>
      <w:r w:rsidRPr="00C73DB2">
        <w:rPr>
          <w:rFonts w:eastAsia="Times New Roman"/>
          <w:lang w:val="en-GB" w:eastAsia="en-GB"/>
        </w:rPr>
        <w:t xml:space="preserve">What’s more, it may be hidden because it was perceived earlier to be an inconsequential conservatism. </w:t>
      </w:r>
      <w:r w:rsidR="00F1244E">
        <w:rPr>
          <w:rFonts w:eastAsia="Times New Roman"/>
          <w:lang w:val="en-GB" w:eastAsia="en-GB"/>
        </w:rPr>
        <w:t xml:space="preserve"> </w:t>
      </w:r>
      <w:r w:rsidRPr="00C73DB2">
        <w:rPr>
          <w:rFonts w:eastAsia="Times New Roman"/>
          <w:lang w:val="en-GB" w:eastAsia="en-GB"/>
        </w:rPr>
        <w:t>Thus</w:t>
      </w:r>
      <w:r w:rsidR="00F1244E">
        <w:rPr>
          <w:rFonts w:eastAsia="Times New Roman"/>
          <w:lang w:val="en-GB" w:eastAsia="en-GB"/>
        </w:rPr>
        <w:t>,</w:t>
      </w:r>
      <w:r w:rsidRPr="00C73DB2">
        <w:rPr>
          <w:rFonts w:eastAsia="Times New Roman"/>
          <w:lang w:val="en-GB" w:eastAsia="en-GB"/>
        </w:rPr>
        <w:t xml:space="preserve"> a trawl through the assessment might be necessary to identify any convenient conservatisms.</w:t>
      </w:r>
      <w:r w:rsidR="00F1244E">
        <w:rPr>
          <w:rFonts w:eastAsia="Times New Roman"/>
          <w:lang w:val="en-GB" w:eastAsia="en-GB"/>
        </w:rPr>
        <w:t xml:space="preserve"> </w:t>
      </w:r>
      <w:r w:rsidRPr="00C73DB2">
        <w:rPr>
          <w:rFonts w:eastAsia="Times New Roman"/>
          <w:lang w:val="en-GB" w:eastAsia="en-GB"/>
        </w:rPr>
        <w:t xml:space="preserve"> It’s obviously easier if these have been clearly identified at the time of assuming the convenient conservatism.</w:t>
      </w:r>
    </w:p>
    <w:p w14:paraId="1F7CE87C" w14:textId="0A1830A7" w:rsidR="00CF796F" w:rsidRPr="00C73DB2" w:rsidRDefault="0087786B" w:rsidP="00C73DB2">
      <w:pPr>
        <w:pStyle w:val="ListParagraph"/>
        <w:widowControl/>
        <w:autoSpaceDE/>
        <w:autoSpaceDN/>
        <w:spacing w:before="120" w:after="120"/>
        <w:ind w:left="851" w:firstLine="0"/>
        <w:rPr>
          <w:rFonts w:eastAsia="Times New Roman"/>
          <w:lang w:val="en-GB" w:eastAsia="en-GB"/>
        </w:rPr>
      </w:pPr>
      <w:r w:rsidRPr="00826413">
        <w:rPr>
          <w:rFonts w:eastAsia="Times New Roman"/>
          <w:color w:val="000000" w:themeColor="text1"/>
          <w:lang w:val="en-GB" w:eastAsia="en-GB"/>
        </w:rPr>
        <w:t xml:space="preserve">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_Ref50109951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1</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states </w:t>
      </w:r>
      <w:r w:rsidRPr="00C73DB2">
        <w:rPr>
          <w:rFonts w:eastAsia="Times New Roman"/>
          <w:lang w:val="en-GB" w:eastAsia="en-GB"/>
        </w:rPr>
        <w:t xml:space="preserve">that the safety case should provide a proportionate justification that includes appropriate conservatism but without undue pessimism. </w:t>
      </w:r>
      <w:r w:rsidR="0001156A">
        <w:rPr>
          <w:rFonts w:eastAsia="Times New Roman"/>
          <w:lang w:val="en-GB" w:eastAsia="en-GB"/>
        </w:rPr>
        <w:t xml:space="preserve"> </w:t>
      </w:r>
      <w:r w:rsidRPr="00C73DB2">
        <w:rPr>
          <w:rFonts w:eastAsia="Times New Roman"/>
          <w:lang w:val="en-GB" w:eastAsia="en-GB"/>
        </w:rPr>
        <w:t>This statement is supported in this Guide.</w:t>
      </w:r>
    </w:p>
    <w:p w14:paraId="15EFB1A5" w14:textId="77777777" w:rsidR="00CF796F" w:rsidRPr="00C73DB2" w:rsidRDefault="0087786B" w:rsidP="00C73DB2">
      <w:pPr>
        <w:pStyle w:val="ListParagraph"/>
        <w:widowControl/>
        <w:autoSpaceDE/>
        <w:autoSpaceDN/>
        <w:spacing w:before="120" w:after="120"/>
        <w:ind w:left="851" w:firstLine="0"/>
        <w:rPr>
          <w:rFonts w:eastAsia="Times New Roman"/>
          <w:lang w:val="en-GB" w:eastAsia="en-GB"/>
        </w:rPr>
      </w:pPr>
      <w:r w:rsidRPr="00C73DB2">
        <w:rPr>
          <w:rFonts w:eastAsia="Times New Roman"/>
          <w:lang w:val="en-GB" w:eastAsia="en-GB"/>
        </w:rPr>
        <w:t>Examples of achieving a balance between under-conservatism and over-conservatism are divided into the following sections:</w:t>
      </w:r>
    </w:p>
    <w:p w14:paraId="277EBD31" w14:textId="77777777" w:rsidR="00CF796F" w:rsidRPr="0001156A"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 balance in design</w:t>
      </w:r>
      <w:r w:rsidR="0001156A">
        <w:rPr>
          <w:rFonts w:eastAsia="Times New Roman" w:cs="Times New Roman"/>
          <w:lang w:val="en-GB" w:eastAsia="en-GB"/>
        </w:rPr>
        <w:t>;</w:t>
      </w:r>
    </w:p>
    <w:p w14:paraId="442CC7C2" w14:textId="77777777" w:rsidR="00CF796F" w:rsidRPr="0001156A"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 balance in fault progression</w:t>
      </w:r>
      <w:r w:rsidR="0001156A">
        <w:rPr>
          <w:rFonts w:eastAsia="Times New Roman" w:cs="Times New Roman"/>
          <w:lang w:val="en-GB" w:eastAsia="en-GB"/>
        </w:rPr>
        <w:t>;</w:t>
      </w:r>
    </w:p>
    <w:p w14:paraId="04F837D8" w14:textId="77777777" w:rsidR="00CF796F" w:rsidRPr="0001156A"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 balance in consequence assessment</w:t>
      </w:r>
      <w:r w:rsidR="0001156A">
        <w:rPr>
          <w:rFonts w:eastAsia="Times New Roman" w:cs="Times New Roman"/>
          <w:lang w:val="en-GB" w:eastAsia="en-GB"/>
        </w:rPr>
        <w:t>;</w:t>
      </w:r>
    </w:p>
    <w:p w14:paraId="41830F31" w14:textId="77777777" w:rsidR="00CF796F" w:rsidRPr="0001156A"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 balance in engineering substantiation</w:t>
      </w:r>
      <w:r w:rsidR="0001156A">
        <w:rPr>
          <w:rFonts w:eastAsia="Times New Roman" w:cs="Times New Roman"/>
          <w:lang w:val="en-GB" w:eastAsia="en-GB"/>
        </w:rPr>
        <w:t>;</w:t>
      </w:r>
    </w:p>
    <w:p w14:paraId="5BEAADB4" w14:textId="77777777" w:rsidR="00CF796F" w:rsidRPr="0001156A"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 balance in other areas</w:t>
      </w:r>
      <w:r w:rsidR="0001156A">
        <w:rPr>
          <w:rFonts w:eastAsia="Times New Roman" w:cs="Times New Roman"/>
          <w:lang w:val="en-GB" w:eastAsia="en-GB"/>
        </w:rPr>
        <w:t>;</w:t>
      </w:r>
    </w:p>
    <w:p w14:paraId="5516C99A" w14:textId="77777777" w:rsidR="00CF796F" w:rsidRDefault="0087786B" w:rsidP="0001156A">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01156A">
        <w:rPr>
          <w:rFonts w:eastAsia="Times New Roman" w:cs="Times New Roman"/>
          <w:lang w:val="en-GB" w:eastAsia="en-GB"/>
        </w:rPr>
        <w:t>Achieving an overall balance</w:t>
      </w:r>
      <w:r w:rsidR="0001156A">
        <w:rPr>
          <w:rFonts w:eastAsia="Times New Roman" w:cs="Times New Roman"/>
          <w:lang w:val="en-GB" w:eastAsia="en-GB"/>
        </w:rPr>
        <w:t>.</w:t>
      </w:r>
    </w:p>
    <w:p w14:paraId="6640F268" w14:textId="77777777" w:rsidR="0001156A" w:rsidRPr="0001156A" w:rsidRDefault="0001156A" w:rsidP="0001156A">
      <w:pPr>
        <w:pStyle w:val="ListParagraph"/>
        <w:widowControl/>
        <w:autoSpaceDE/>
        <w:autoSpaceDN/>
        <w:spacing w:before="60" w:after="60"/>
        <w:ind w:left="1418" w:firstLine="0"/>
        <w:contextualSpacing/>
        <w:rPr>
          <w:rFonts w:eastAsia="Times New Roman" w:cs="Times New Roman"/>
          <w:lang w:val="en-GB" w:eastAsia="en-GB"/>
        </w:rPr>
      </w:pPr>
    </w:p>
    <w:p w14:paraId="64A07B56" w14:textId="5D0F2439" w:rsid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b/>
          <w:bCs/>
          <w:lang w:val="en-GB" w:eastAsia="en-GB"/>
        </w:rPr>
        <w:t>Note that the advice in ‘Achieving an overall balance’ is worth bearing in mind right from the start, rather than waiting until the ‘wrong answer’ has been reached at the end of the safety case production process</w:t>
      </w:r>
      <w:r w:rsidRPr="0001156A">
        <w:rPr>
          <w:rFonts w:eastAsia="Times New Roman"/>
          <w:lang w:val="en-GB" w:eastAsia="en-GB"/>
        </w:rPr>
        <w:t>.</w:t>
      </w:r>
      <w:r w:rsidR="0001156A">
        <w:rPr>
          <w:rFonts w:eastAsia="Times New Roman"/>
          <w:lang w:val="en-GB" w:eastAsia="en-GB"/>
        </w:rPr>
        <w:t xml:space="preserve"> </w:t>
      </w:r>
      <w:r w:rsidRPr="0001156A">
        <w:rPr>
          <w:rFonts w:eastAsia="Times New Roman"/>
          <w:lang w:val="en-GB" w:eastAsia="en-GB"/>
        </w:rPr>
        <w:t xml:space="preserve"> It may be appropriate to include the issue of avoiding under-conservatism and over-conservatism in a project start-up meeting.</w:t>
      </w:r>
      <w:r w:rsidR="0001156A">
        <w:rPr>
          <w:rFonts w:eastAsia="Times New Roman"/>
          <w:lang w:val="en-GB" w:eastAsia="en-GB"/>
        </w:rPr>
        <w:t xml:space="preserve"> </w:t>
      </w:r>
      <w:r w:rsidRPr="0001156A">
        <w:rPr>
          <w:rFonts w:eastAsia="Times New Roman"/>
          <w:lang w:val="en-GB" w:eastAsia="en-GB"/>
        </w:rPr>
        <w:t xml:space="preserve"> </w:t>
      </w:r>
    </w:p>
    <w:p w14:paraId="7BA8803C" w14:textId="77777777" w:rsidR="00CF796F" w:rsidRP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lang w:val="en-GB" w:eastAsia="en-GB"/>
        </w:rPr>
        <w:t>Where there are large uncertainties, it may well be appropriate to identify the major contributors to overall uncertainty early on, and obtain data that reduces this uncertainty before decisions have to be made.</w:t>
      </w:r>
    </w:p>
    <w:p w14:paraId="0A4C7084" w14:textId="77777777" w:rsidR="00CF796F" w:rsidRDefault="0001156A" w:rsidP="0001156A">
      <w:pPr>
        <w:pStyle w:val="Heading2"/>
      </w:pPr>
      <w:bookmarkStart w:id="29" w:name="_Toc50110451"/>
      <w:r>
        <w:t>6.1</w:t>
      </w:r>
      <w:r>
        <w:tab/>
      </w:r>
      <w:r w:rsidR="0087786B">
        <w:t>Achieving a Balance in Design</w:t>
      </w:r>
      <w:bookmarkEnd w:id="29"/>
    </w:p>
    <w:p w14:paraId="31852F07" w14:textId="77777777" w:rsidR="00CF796F" w:rsidRP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lang w:val="en-GB" w:eastAsia="en-GB"/>
        </w:rPr>
        <w:t xml:space="preserve">‘Design’ here can refer to </w:t>
      </w:r>
      <w:r w:rsidR="00190352">
        <w:rPr>
          <w:rFonts w:eastAsia="Times New Roman"/>
          <w:lang w:val="en-GB" w:eastAsia="en-GB"/>
        </w:rPr>
        <w:t xml:space="preserve">the design of </w:t>
      </w:r>
      <w:r w:rsidRPr="0001156A">
        <w:rPr>
          <w:rFonts w:eastAsia="Times New Roman"/>
          <w:lang w:val="en-GB" w:eastAsia="en-GB"/>
        </w:rPr>
        <w:t xml:space="preserve">a new facility or to </w:t>
      </w:r>
      <w:r w:rsidR="00190352">
        <w:rPr>
          <w:rFonts w:eastAsia="Times New Roman"/>
          <w:lang w:val="en-GB" w:eastAsia="en-GB"/>
        </w:rPr>
        <w:t xml:space="preserve">the </w:t>
      </w:r>
      <w:r w:rsidRPr="0001156A">
        <w:rPr>
          <w:rFonts w:eastAsia="Times New Roman"/>
          <w:lang w:val="en-GB" w:eastAsia="en-GB"/>
        </w:rPr>
        <w:t>design of a decommissioning project or to</w:t>
      </w:r>
      <w:r w:rsidR="00190352">
        <w:rPr>
          <w:rFonts w:eastAsia="Times New Roman"/>
          <w:lang w:val="en-GB" w:eastAsia="en-GB"/>
        </w:rPr>
        <w:t xml:space="preserve"> the</w:t>
      </w:r>
      <w:r w:rsidRPr="0001156A">
        <w:rPr>
          <w:rFonts w:eastAsia="Times New Roman"/>
          <w:lang w:val="en-GB" w:eastAsia="en-GB"/>
        </w:rPr>
        <w:t xml:space="preserve"> design of a modification.</w:t>
      </w:r>
    </w:p>
    <w:p w14:paraId="5D69E66C" w14:textId="77777777" w:rsidR="00CF796F" w:rsidRP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lang w:val="en-GB" w:eastAsia="en-GB"/>
        </w:rPr>
        <w:t xml:space="preserve">Inventory can be particularly important here. </w:t>
      </w:r>
      <w:r w:rsidR="00190352">
        <w:rPr>
          <w:rFonts w:eastAsia="Times New Roman"/>
          <w:lang w:val="en-GB" w:eastAsia="en-GB"/>
        </w:rPr>
        <w:t xml:space="preserve"> </w:t>
      </w:r>
      <w:r w:rsidRPr="0001156A">
        <w:rPr>
          <w:rFonts w:eastAsia="Times New Roman"/>
          <w:lang w:val="en-GB" w:eastAsia="en-GB"/>
        </w:rPr>
        <w:t>For example, in a facility processing self-heating liquor, it was important to provide enough cooling for the highest heat- loading of the liquor, but it appears that little or no consideration was given to the</w:t>
      </w:r>
      <w:r w:rsidR="00190352">
        <w:rPr>
          <w:rFonts w:eastAsia="Times New Roman"/>
          <w:lang w:val="en-GB" w:eastAsia="en-GB"/>
        </w:rPr>
        <w:t xml:space="preserve"> </w:t>
      </w:r>
      <w:r w:rsidRPr="0001156A">
        <w:rPr>
          <w:rFonts w:eastAsia="Times New Roman"/>
          <w:lang w:val="en-GB" w:eastAsia="en-GB"/>
        </w:rPr>
        <w:t>potential for over-cooling, which was thought to be primarily an operational issue.</w:t>
      </w:r>
      <w:r w:rsidR="00190352">
        <w:rPr>
          <w:rFonts w:eastAsia="Times New Roman"/>
          <w:lang w:val="en-GB" w:eastAsia="en-GB"/>
        </w:rPr>
        <w:t xml:space="preserve"> </w:t>
      </w:r>
      <w:r w:rsidRPr="0001156A">
        <w:rPr>
          <w:rFonts w:eastAsia="Times New Roman"/>
          <w:lang w:val="en-GB" w:eastAsia="en-GB"/>
        </w:rPr>
        <w:t xml:space="preserve"> In a tank, four cooling coils were provided.</w:t>
      </w:r>
      <w:r w:rsidR="00190352">
        <w:rPr>
          <w:rFonts w:eastAsia="Times New Roman"/>
          <w:lang w:val="en-GB" w:eastAsia="en-GB"/>
        </w:rPr>
        <w:t xml:space="preserve"> </w:t>
      </w:r>
      <w:r w:rsidRPr="0001156A">
        <w:rPr>
          <w:rFonts w:eastAsia="Times New Roman"/>
          <w:lang w:val="en-GB" w:eastAsia="en-GB"/>
        </w:rPr>
        <w:t xml:space="preserve"> When it came to </w:t>
      </w:r>
      <w:r w:rsidR="00190352">
        <w:rPr>
          <w:rFonts w:eastAsia="Times New Roman"/>
          <w:lang w:val="en-GB" w:eastAsia="en-GB"/>
        </w:rPr>
        <w:t xml:space="preserve">the </w:t>
      </w:r>
      <w:r w:rsidRPr="0001156A">
        <w:rPr>
          <w:rFonts w:eastAsia="Times New Roman"/>
          <w:lang w:val="en-GB" w:eastAsia="en-GB"/>
        </w:rPr>
        <w:t>operation</w:t>
      </w:r>
      <w:r w:rsidR="00190352">
        <w:rPr>
          <w:rFonts w:eastAsia="Times New Roman"/>
          <w:lang w:val="en-GB" w:eastAsia="en-GB"/>
        </w:rPr>
        <w:t xml:space="preserve"> of the process</w:t>
      </w:r>
      <w:r w:rsidRPr="0001156A">
        <w:rPr>
          <w:rFonts w:eastAsia="Times New Roman"/>
          <w:lang w:val="en-GB" w:eastAsia="en-GB"/>
        </w:rPr>
        <w:t xml:space="preserve">, over-cooling was encountered, so two of the four cooling coils were ‘mothballed’ and the other two coils were operated at </w:t>
      </w:r>
      <w:r w:rsidR="00190352">
        <w:rPr>
          <w:rFonts w:eastAsia="Times New Roman"/>
          <w:lang w:val="en-GB" w:eastAsia="en-GB"/>
        </w:rPr>
        <w:t xml:space="preserve">a </w:t>
      </w:r>
      <w:r w:rsidRPr="0001156A">
        <w:rPr>
          <w:rFonts w:eastAsia="Times New Roman"/>
          <w:lang w:val="en-GB" w:eastAsia="en-GB"/>
        </w:rPr>
        <w:t xml:space="preserve">low flow. </w:t>
      </w:r>
      <w:r w:rsidR="00697B21">
        <w:rPr>
          <w:rFonts w:eastAsia="Times New Roman"/>
          <w:lang w:val="en-GB" w:eastAsia="en-GB"/>
        </w:rPr>
        <w:t xml:space="preserve"> </w:t>
      </w:r>
      <w:r w:rsidRPr="0001156A">
        <w:rPr>
          <w:rFonts w:eastAsia="Times New Roman"/>
          <w:lang w:val="en-GB" w:eastAsia="en-GB"/>
        </w:rPr>
        <w:t xml:space="preserve">An instruction was provided for un-mothballing a coil, but no consideration was apparently given (at the time) to the possibility of a mothballed coil developing a leak such that radioactive liquor could fill the coil, which would then flow out of the shielding at the time of un-mothballing, causing significant dose rates. </w:t>
      </w:r>
      <w:r w:rsidR="00697B21">
        <w:rPr>
          <w:rFonts w:eastAsia="Times New Roman"/>
          <w:lang w:val="en-GB" w:eastAsia="en-GB"/>
        </w:rPr>
        <w:t xml:space="preserve"> </w:t>
      </w:r>
      <w:r w:rsidRPr="0001156A">
        <w:rPr>
          <w:rFonts w:eastAsia="Times New Roman"/>
          <w:lang w:val="en-GB" w:eastAsia="en-GB"/>
        </w:rPr>
        <w:t>This fault was later identified in the periodic review of safety, the instruction was withdrawn, and no unusual dose rates occurred, but the potential fault arose from an over-conservatism in the first place.</w:t>
      </w:r>
    </w:p>
    <w:p w14:paraId="42B9B6FE" w14:textId="77777777" w:rsidR="00CF796F" w:rsidRP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lang w:val="en-GB" w:eastAsia="en-GB"/>
        </w:rPr>
        <w:lastRenderedPageBreak/>
        <w:t xml:space="preserve">Uncertainty must be addressed not only by safety professionals, but also by designers. Sometimes using the worst of all variables would lead to a design that is too onerous, and it may be more appropriate to focus the design on expected parameter values, but with provision for ‘outliers’, that may be more operationally focused. </w:t>
      </w:r>
      <w:r w:rsidR="00AB06B5">
        <w:rPr>
          <w:rFonts w:eastAsia="Times New Roman"/>
          <w:lang w:val="en-GB" w:eastAsia="en-GB"/>
        </w:rPr>
        <w:t xml:space="preserve"> </w:t>
      </w:r>
      <w:r w:rsidRPr="0001156A">
        <w:rPr>
          <w:rFonts w:eastAsia="Times New Roman"/>
          <w:lang w:val="en-GB" w:eastAsia="en-GB"/>
        </w:rPr>
        <w:t>While operational safety measures are relatively low in the fundamental safety hierarchy, it may still be appropriate to go down this route</w:t>
      </w:r>
      <w:r w:rsidR="00AB06B5">
        <w:rPr>
          <w:rFonts w:eastAsia="Times New Roman"/>
          <w:lang w:val="en-GB" w:eastAsia="en-GB"/>
        </w:rPr>
        <w:t>,</w:t>
      </w:r>
      <w:r w:rsidRPr="0001156A">
        <w:rPr>
          <w:rFonts w:eastAsia="Times New Roman"/>
          <w:lang w:val="en-GB" w:eastAsia="en-GB"/>
        </w:rPr>
        <w:t xml:space="preserve"> if for example</w:t>
      </w:r>
      <w:r w:rsidR="00AB06B5">
        <w:rPr>
          <w:rFonts w:eastAsia="Times New Roman"/>
          <w:lang w:val="en-GB" w:eastAsia="en-GB"/>
        </w:rPr>
        <w:t>,</w:t>
      </w:r>
      <w:r w:rsidRPr="0001156A">
        <w:rPr>
          <w:rFonts w:eastAsia="Times New Roman"/>
          <w:lang w:val="en-GB" w:eastAsia="en-GB"/>
        </w:rPr>
        <w:t xml:space="preserve"> the ‘too onerous design’ would delay decommissioning by years. </w:t>
      </w:r>
      <w:r w:rsidR="00AB06B5">
        <w:rPr>
          <w:rFonts w:eastAsia="Times New Roman"/>
          <w:lang w:val="en-GB" w:eastAsia="en-GB"/>
        </w:rPr>
        <w:t xml:space="preserve"> </w:t>
      </w:r>
      <w:r w:rsidRPr="0001156A">
        <w:rPr>
          <w:rFonts w:eastAsia="Times New Roman"/>
          <w:lang w:val="en-GB" w:eastAsia="en-GB"/>
        </w:rPr>
        <w:t>Uncertainty affecting the design basis should be highlighted and conservatisms and/or optimisms should</w:t>
      </w:r>
      <w:r w:rsidR="0001156A">
        <w:rPr>
          <w:rFonts w:eastAsia="Times New Roman"/>
          <w:lang w:val="en-GB" w:eastAsia="en-GB"/>
        </w:rPr>
        <w:t xml:space="preserve"> </w:t>
      </w:r>
      <w:r w:rsidRPr="0001156A">
        <w:rPr>
          <w:rFonts w:eastAsia="Times New Roman"/>
          <w:lang w:val="en-GB" w:eastAsia="en-GB"/>
        </w:rPr>
        <w:t>be made clear, so that the overall hazard management strategy can accommodate it.</w:t>
      </w:r>
      <w:r w:rsidR="00AB06B5">
        <w:rPr>
          <w:rFonts w:eastAsia="Times New Roman"/>
          <w:lang w:val="en-GB" w:eastAsia="en-GB"/>
        </w:rPr>
        <w:t xml:space="preserve"> </w:t>
      </w:r>
      <w:r w:rsidRPr="0001156A">
        <w:rPr>
          <w:rFonts w:eastAsia="Times New Roman"/>
          <w:lang w:val="en-GB" w:eastAsia="en-GB"/>
        </w:rPr>
        <w:t xml:space="preserve"> It may well be necessary to carefully distinguish between unusual non-fault conditions (inherently of a low probability) and accidental conditions (generally of a lower probability, but only because of the provision of safety measures).</w:t>
      </w:r>
    </w:p>
    <w:p w14:paraId="69AE0E7B" w14:textId="77777777" w:rsidR="00CF796F" w:rsidRPr="00826413" w:rsidRDefault="0087786B" w:rsidP="0001156A">
      <w:pPr>
        <w:pStyle w:val="ListParagraph"/>
        <w:widowControl/>
        <w:autoSpaceDE/>
        <w:autoSpaceDN/>
        <w:spacing w:before="120" w:after="120"/>
        <w:ind w:left="851" w:firstLine="0"/>
        <w:rPr>
          <w:rFonts w:eastAsia="Times New Roman"/>
          <w:color w:val="000000" w:themeColor="text1"/>
          <w:lang w:val="en-GB" w:eastAsia="en-GB"/>
        </w:rPr>
      </w:pPr>
      <w:r w:rsidRPr="0001156A">
        <w:rPr>
          <w:rFonts w:eastAsia="Times New Roman"/>
          <w:lang w:val="en-GB" w:eastAsia="en-GB"/>
        </w:rPr>
        <w:t xml:space="preserve">For design safety cases, it is important to show that expected doses will be within limits and ALARP. </w:t>
      </w:r>
      <w:r w:rsidR="00AB06B5">
        <w:rPr>
          <w:rFonts w:eastAsia="Times New Roman"/>
          <w:lang w:val="en-GB" w:eastAsia="en-GB"/>
        </w:rPr>
        <w:t xml:space="preserve"> </w:t>
      </w:r>
      <w:r w:rsidRPr="0001156A">
        <w:rPr>
          <w:rFonts w:eastAsia="Times New Roman"/>
          <w:lang w:val="en-GB" w:eastAsia="en-GB"/>
        </w:rPr>
        <w:t xml:space="preserve">This involves prediction of expected dose rates (based on shielding calculations) in certain plant areas, along with an estimate of occupancy in those areas. </w:t>
      </w:r>
      <w:r w:rsidR="00AB06B5">
        <w:rPr>
          <w:rFonts w:eastAsia="Times New Roman"/>
          <w:lang w:val="en-GB" w:eastAsia="en-GB"/>
        </w:rPr>
        <w:t xml:space="preserve"> </w:t>
      </w:r>
      <w:r w:rsidRPr="0001156A">
        <w:rPr>
          <w:rFonts w:eastAsia="Times New Roman"/>
          <w:lang w:val="en-GB" w:eastAsia="en-GB"/>
        </w:rPr>
        <w:t>There are many uncertainties, but dose estimates can be improved by learning from experience of similar facilities now in operation.</w:t>
      </w:r>
      <w:r w:rsidR="00AB06B5">
        <w:rPr>
          <w:rFonts w:eastAsia="Times New Roman"/>
          <w:lang w:val="en-GB" w:eastAsia="en-GB"/>
        </w:rPr>
        <w:t xml:space="preserve"> </w:t>
      </w:r>
      <w:r w:rsidRPr="0001156A">
        <w:rPr>
          <w:rFonts w:eastAsia="Times New Roman"/>
          <w:lang w:val="en-GB" w:eastAsia="en-GB"/>
        </w:rPr>
        <w:t xml:space="preserve"> The same opportunity rarely presents itself for accident dose estimates, making it all the more difficult to achieve appropriate </w:t>
      </w:r>
      <w:r w:rsidRPr="00826413">
        <w:rPr>
          <w:rFonts w:eastAsia="Times New Roman"/>
          <w:color w:val="000000" w:themeColor="text1"/>
          <w:lang w:val="en-GB" w:eastAsia="en-GB"/>
        </w:rPr>
        <w:t xml:space="preserve">conservatism - see the section ‘Achieving a </w:t>
      </w:r>
      <w:r w:rsidR="00AB06B5" w:rsidRPr="00826413">
        <w:rPr>
          <w:rFonts w:eastAsia="Times New Roman"/>
          <w:color w:val="000000" w:themeColor="text1"/>
          <w:lang w:val="en-GB" w:eastAsia="en-GB"/>
        </w:rPr>
        <w:t>B</w:t>
      </w:r>
      <w:r w:rsidRPr="00826413">
        <w:rPr>
          <w:rFonts w:eastAsia="Times New Roman"/>
          <w:color w:val="000000" w:themeColor="text1"/>
          <w:lang w:val="en-GB" w:eastAsia="en-GB"/>
        </w:rPr>
        <w:t xml:space="preserve">alance in </w:t>
      </w:r>
      <w:r w:rsidR="00AB06B5" w:rsidRPr="00826413">
        <w:rPr>
          <w:rFonts w:eastAsia="Times New Roman"/>
          <w:color w:val="000000" w:themeColor="text1"/>
          <w:lang w:val="en-GB" w:eastAsia="en-GB"/>
        </w:rPr>
        <w:t>C</w:t>
      </w:r>
      <w:r w:rsidRPr="00826413">
        <w:rPr>
          <w:rFonts w:eastAsia="Times New Roman"/>
          <w:color w:val="000000" w:themeColor="text1"/>
          <w:lang w:val="en-GB" w:eastAsia="en-GB"/>
        </w:rPr>
        <w:t xml:space="preserve">onsequence </w:t>
      </w:r>
      <w:r w:rsidR="00AB06B5" w:rsidRPr="00826413">
        <w:rPr>
          <w:rFonts w:eastAsia="Times New Roman"/>
          <w:color w:val="000000" w:themeColor="text1"/>
          <w:lang w:val="en-GB" w:eastAsia="en-GB"/>
        </w:rPr>
        <w:t>A</w:t>
      </w:r>
      <w:r w:rsidRPr="00826413">
        <w:rPr>
          <w:rFonts w:eastAsia="Times New Roman"/>
          <w:color w:val="000000" w:themeColor="text1"/>
          <w:lang w:val="en-GB" w:eastAsia="en-GB"/>
        </w:rPr>
        <w:t>ssessment’</w:t>
      </w:r>
      <w:r w:rsidR="00AB06B5" w:rsidRPr="00826413">
        <w:rPr>
          <w:rFonts w:eastAsia="Times New Roman"/>
          <w:color w:val="000000" w:themeColor="text1"/>
          <w:lang w:val="en-GB" w:eastAsia="en-GB"/>
        </w:rPr>
        <w:t>.</w:t>
      </w:r>
    </w:p>
    <w:p w14:paraId="556E6737" w14:textId="77777777" w:rsidR="00CF796F" w:rsidRPr="0001156A" w:rsidRDefault="0087786B" w:rsidP="0001156A">
      <w:pPr>
        <w:pStyle w:val="ListParagraph"/>
        <w:widowControl/>
        <w:autoSpaceDE/>
        <w:autoSpaceDN/>
        <w:spacing w:before="120" w:after="120"/>
        <w:ind w:left="851" w:firstLine="0"/>
        <w:rPr>
          <w:rFonts w:eastAsia="Times New Roman"/>
          <w:lang w:val="en-GB" w:eastAsia="en-GB"/>
        </w:rPr>
      </w:pPr>
      <w:r w:rsidRPr="0001156A">
        <w:rPr>
          <w:rFonts w:eastAsia="Times New Roman"/>
          <w:lang w:val="en-GB" w:eastAsia="en-GB"/>
        </w:rPr>
        <w:t xml:space="preserve">Another uncertainty arises from inventory estimates. </w:t>
      </w:r>
      <w:r w:rsidR="00AB06B5">
        <w:rPr>
          <w:rFonts w:eastAsia="Times New Roman"/>
          <w:lang w:val="en-GB" w:eastAsia="en-GB"/>
        </w:rPr>
        <w:t xml:space="preserve"> </w:t>
      </w:r>
      <w:r w:rsidRPr="0001156A">
        <w:rPr>
          <w:rFonts w:eastAsia="Times New Roman"/>
          <w:lang w:val="en-GB" w:eastAsia="en-GB"/>
        </w:rPr>
        <w:t xml:space="preserve">In another example, it was considered that a robot would be needed to transfer packages out of a store, which was needed to enhance security. </w:t>
      </w:r>
      <w:r w:rsidR="00AB06B5">
        <w:rPr>
          <w:rFonts w:eastAsia="Times New Roman"/>
          <w:lang w:val="en-GB" w:eastAsia="en-GB"/>
        </w:rPr>
        <w:t xml:space="preserve"> </w:t>
      </w:r>
      <w:r w:rsidRPr="0001156A">
        <w:rPr>
          <w:rFonts w:eastAsia="Times New Roman"/>
          <w:lang w:val="en-GB" w:eastAsia="en-GB"/>
        </w:rPr>
        <w:t xml:space="preserve">The need for a robot was based on the dose rate from the package with the highest dose rate. </w:t>
      </w:r>
      <w:r w:rsidR="00AB06B5">
        <w:rPr>
          <w:rFonts w:eastAsia="Times New Roman"/>
          <w:lang w:val="en-GB" w:eastAsia="en-GB"/>
        </w:rPr>
        <w:t xml:space="preserve"> </w:t>
      </w:r>
      <w:r w:rsidRPr="0001156A">
        <w:rPr>
          <w:rFonts w:eastAsia="Times New Roman"/>
          <w:lang w:val="en-GB" w:eastAsia="en-GB"/>
        </w:rPr>
        <w:t xml:space="preserve">However, average doses to workers almost by definition relate directly to mean package dose rates, and often even the dose to the most exposed worker is not unduly influenced by the highest dose rate package. </w:t>
      </w:r>
      <w:r w:rsidR="00AB06B5">
        <w:rPr>
          <w:rFonts w:eastAsia="Times New Roman"/>
          <w:lang w:val="en-GB" w:eastAsia="en-GB"/>
        </w:rPr>
        <w:t xml:space="preserve"> </w:t>
      </w:r>
      <w:r w:rsidRPr="0001156A">
        <w:rPr>
          <w:rFonts w:eastAsia="Times New Roman"/>
          <w:lang w:val="en-GB" w:eastAsia="en-GB"/>
        </w:rPr>
        <w:t>By reviewing the distribution of package inventories and dose rates, it was possible to show that the transfer of packages could be achieved safely by employing manual transfer, thus achieving the security enhancement significantly earlier than if a robot had been employed.</w:t>
      </w:r>
    </w:p>
    <w:p w14:paraId="077A7D5A" w14:textId="77777777" w:rsidR="00CF796F" w:rsidRDefault="00EF0C1B" w:rsidP="00EF0C1B">
      <w:pPr>
        <w:pStyle w:val="Heading2"/>
      </w:pPr>
      <w:bookmarkStart w:id="30" w:name="_Toc50110452"/>
      <w:r>
        <w:t>6.2</w:t>
      </w:r>
      <w:r>
        <w:tab/>
      </w:r>
      <w:r w:rsidR="0087786B">
        <w:t>Achieving a Balance in Fault Progression</w:t>
      </w:r>
      <w:bookmarkEnd w:id="30"/>
    </w:p>
    <w:p w14:paraId="0127AD68"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 xml:space="preserve">Development of the fault progression is a key stage in fault analysis, and one in which under-conservatism or over-conservatism can easily arise. </w:t>
      </w:r>
      <w:r w:rsidR="00461AA9">
        <w:rPr>
          <w:rFonts w:eastAsia="Times New Roman"/>
          <w:lang w:val="en-GB" w:eastAsia="en-GB"/>
        </w:rPr>
        <w:t xml:space="preserve"> </w:t>
      </w:r>
      <w:r w:rsidRPr="00EF0C1B">
        <w:rPr>
          <w:rFonts w:eastAsia="Times New Roman"/>
          <w:lang w:val="en-GB" w:eastAsia="en-GB"/>
        </w:rPr>
        <w:t>This is best illustrated by means of an example</w:t>
      </w:r>
      <w:r w:rsidR="00461AA9">
        <w:rPr>
          <w:rFonts w:eastAsia="Times New Roman"/>
          <w:lang w:val="en-GB" w:eastAsia="en-GB"/>
        </w:rPr>
        <w:t>.</w:t>
      </w:r>
    </w:p>
    <w:p w14:paraId="6A341BBC"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 xml:space="preserve">An existing store contains packages of radioactive material that is self-heating. </w:t>
      </w:r>
      <w:r w:rsidR="00461AA9">
        <w:rPr>
          <w:rFonts w:eastAsia="Times New Roman"/>
          <w:lang w:val="en-GB" w:eastAsia="en-GB"/>
        </w:rPr>
        <w:t xml:space="preserve"> </w:t>
      </w:r>
      <w:r w:rsidRPr="00EF0C1B">
        <w:rPr>
          <w:rFonts w:eastAsia="Times New Roman"/>
          <w:lang w:val="en-GB" w:eastAsia="en-GB"/>
        </w:rPr>
        <w:t>Cooling is provided by means of a ventilation extract from the store.</w:t>
      </w:r>
      <w:r w:rsidR="00461AA9">
        <w:rPr>
          <w:rFonts w:eastAsia="Times New Roman"/>
          <w:lang w:val="en-GB" w:eastAsia="en-GB"/>
        </w:rPr>
        <w:t xml:space="preserve"> </w:t>
      </w:r>
      <w:r w:rsidRPr="00EF0C1B">
        <w:rPr>
          <w:rFonts w:eastAsia="Times New Roman"/>
          <w:lang w:val="en-GB" w:eastAsia="en-GB"/>
        </w:rPr>
        <w:t xml:space="preserve"> The fault identification process has identified the possibility of the vent extract failing and the radioactive material </w:t>
      </w:r>
      <w:r w:rsidR="00461AA9">
        <w:rPr>
          <w:rFonts w:eastAsia="Times New Roman"/>
          <w:lang w:val="en-GB" w:eastAsia="en-GB"/>
        </w:rPr>
        <w:br/>
      </w:r>
      <w:r w:rsidRPr="00EF0C1B">
        <w:rPr>
          <w:rFonts w:eastAsia="Times New Roman"/>
          <w:lang w:val="en-GB" w:eastAsia="en-GB"/>
        </w:rPr>
        <w:t xml:space="preserve">over-heating. </w:t>
      </w:r>
      <w:r w:rsidR="00461AA9">
        <w:rPr>
          <w:rFonts w:eastAsia="Times New Roman"/>
          <w:lang w:val="en-GB" w:eastAsia="en-GB"/>
        </w:rPr>
        <w:t xml:space="preserve"> </w:t>
      </w:r>
      <w:r w:rsidRPr="00EF0C1B">
        <w:rPr>
          <w:rFonts w:eastAsia="Times New Roman"/>
          <w:lang w:val="en-GB" w:eastAsia="en-GB"/>
        </w:rPr>
        <w:t xml:space="preserve">Specialists are asked to determine if releases from the radioactive material may occur from over-heating in the case of ventilation extract failure. </w:t>
      </w:r>
      <w:r w:rsidR="00461AA9">
        <w:rPr>
          <w:rFonts w:eastAsia="Times New Roman"/>
          <w:lang w:val="en-GB" w:eastAsia="en-GB"/>
        </w:rPr>
        <w:t xml:space="preserve"> </w:t>
      </w:r>
      <w:r w:rsidRPr="00EF0C1B">
        <w:rPr>
          <w:rFonts w:eastAsia="Times New Roman"/>
          <w:lang w:val="en-GB" w:eastAsia="en-GB"/>
        </w:rPr>
        <w:t>Their answer, in 4 weeks’ time, is that they cannot prove that a release cannot occur.</w:t>
      </w:r>
    </w:p>
    <w:p w14:paraId="6C18FAE6"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At this point, most safety assessors will feel that it’s important to progress with safety analysis assuming that over-heating may occur, especially if there are timescale pressures.</w:t>
      </w:r>
      <w:r w:rsidR="00461AA9">
        <w:rPr>
          <w:rFonts w:eastAsia="Times New Roman"/>
          <w:lang w:val="en-GB" w:eastAsia="en-GB"/>
        </w:rPr>
        <w:t xml:space="preserve"> </w:t>
      </w:r>
      <w:r w:rsidRPr="00EF0C1B">
        <w:rPr>
          <w:rFonts w:eastAsia="Times New Roman"/>
          <w:lang w:val="en-GB" w:eastAsia="en-GB"/>
        </w:rPr>
        <w:t xml:space="preserve"> This is a conservative approach, but after several weeks of fault analysis, it is found that safety assessment criteria cannot be met unless an additional fan, fed from a different electricity supply and backed</w:t>
      </w:r>
      <w:r w:rsidR="00461AA9">
        <w:rPr>
          <w:rFonts w:eastAsia="Times New Roman"/>
          <w:lang w:val="en-GB" w:eastAsia="en-GB"/>
        </w:rPr>
        <w:t>-</w:t>
      </w:r>
      <w:r w:rsidRPr="00EF0C1B">
        <w:rPr>
          <w:rFonts w:eastAsia="Times New Roman"/>
          <w:lang w:val="en-GB" w:eastAsia="en-GB"/>
        </w:rPr>
        <w:t>up by a separate generator, is provided, and even then</w:t>
      </w:r>
      <w:r w:rsidR="00461AA9">
        <w:rPr>
          <w:rFonts w:eastAsia="Times New Roman"/>
          <w:lang w:val="en-GB" w:eastAsia="en-GB"/>
        </w:rPr>
        <w:t>,</w:t>
      </w:r>
      <w:r w:rsidRPr="00EF0C1B">
        <w:rPr>
          <w:rFonts w:eastAsia="Times New Roman"/>
          <w:lang w:val="en-GB" w:eastAsia="en-GB"/>
        </w:rPr>
        <w:t xml:space="preserve"> the assessed risk would be uncomfortably high. </w:t>
      </w:r>
      <w:r w:rsidR="00461AA9">
        <w:rPr>
          <w:rFonts w:eastAsia="Times New Roman"/>
          <w:lang w:val="en-GB" w:eastAsia="en-GB"/>
        </w:rPr>
        <w:t xml:space="preserve"> </w:t>
      </w:r>
      <w:r w:rsidRPr="00EF0C1B">
        <w:rPr>
          <w:rFonts w:eastAsia="Times New Roman"/>
          <w:lang w:val="en-GB" w:eastAsia="en-GB"/>
        </w:rPr>
        <w:t>Strict operator instructions are required, and restrictions are to be placed on fan maintenance that are difficult for the safety case owner to live with</w:t>
      </w:r>
      <w:r w:rsidR="00461AA9">
        <w:rPr>
          <w:rFonts w:eastAsia="Times New Roman"/>
          <w:lang w:val="en-GB" w:eastAsia="en-GB"/>
        </w:rPr>
        <w:t>; a</w:t>
      </w:r>
      <w:r w:rsidRPr="00EF0C1B">
        <w:rPr>
          <w:rFonts w:eastAsia="Times New Roman"/>
          <w:lang w:val="en-GB" w:eastAsia="en-GB"/>
        </w:rPr>
        <w:t>nd a new detailed emergency instruction is required, that will need to be practised annually.</w:t>
      </w:r>
    </w:p>
    <w:p w14:paraId="155E3BAC"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Only then are the specialists consulted again, and it is found that:</w:t>
      </w:r>
    </w:p>
    <w:p w14:paraId="5B240189"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lastRenderedPageBreak/>
        <w:t>The specialist analysis focused only on natural ventilation, and did not consider in detail</w:t>
      </w:r>
      <w:r w:rsidR="00461AA9">
        <w:rPr>
          <w:rFonts w:eastAsia="Times New Roman" w:cs="Times New Roman"/>
          <w:lang w:val="en-GB" w:eastAsia="en-GB"/>
        </w:rPr>
        <w:t>,</w:t>
      </w:r>
      <w:r w:rsidRPr="00EF0C1B">
        <w:rPr>
          <w:rFonts w:eastAsia="Times New Roman" w:cs="Times New Roman"/>
          <w:lang w:val="en-GB" w:eastAsia="en-GB"/>
        </w:rPr>
        <w:t xml:space="preserve"> at what temperature</w:t>
      </w:r>
      <w:r w:rsidR="00461AA9">
        <w:rPr>
          <w:rFonts w:eastAsia="Times New Roman" w:cs="Times New Roman"/>
          <w:lang w:val="en-GB" w:eastAsia="en-GB"/>
        </w:rPr>
        <w:t>,</w:t>
      </w:r>
      <w:r w:rsidRPr="00EF0C1B">
        <w:rPr>
          <w:rFonts w:eastAsia="Times New Roman" w:cs="Times New Roman"/>
          <w:lang w:val="en-GB" w:eastAsia="en-GB"/>
        </w:rPr>
        <w:t xml:space="preserve"> releases would actually occur from the packages.</w:t>
      </w:r>
    </w:p>
    <w:p w14:paraId="0F5BCCA0"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 xml:space="preserve">The specialist analysis effort was minimal, and less conservative assumptions could be made if more time is devoted to the topic. </w:t>
      </w:r>
      <w:r w:rsidR="00461AA9">
        <w:rPr>
          <w:rFonts w:eastAsia="Times New Roman" w:cs="Times New Roman"/>
          <w:lang w:val="en-GB" w:eastAsia="en-GB"/>
        </w:rPr>
        <w:t xml:space="preserve"> </w:t>
      </w:r>
      <w:r w:rsidRPr="00EF0C1B">
        <w:rPr>
          <w:rFonts w:eastAsia="Times New Roman" w:cs="Times New Roman"/>
          <w:lang w:val="en-GB" w:eastAsia="en-GB"/>
        </w:rPr>
        <w:t>In particular, heat loss through conduction has not been modelled at all.</w:t>
      </w:r>
    </w:p>
    <w:p w14:paraId="4FC5C029" w14:textId="77777777" w:rsidR="00CF796F"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It was assumed that temperature would keep on rising essentially forever (until equilibrium is reached, as this was easier to model) with no restoration of forced cooling.</w:t>
      </w:r>
    </w:p>
    <w:p w14:paraId="7069BAE9" w14:textId="77777777" w:rsidR="00461AA9" w:rsidRPr="00EF0C1B" w:rsidRDefault="00461AA9" w:rsidP="00461AA9">
      <w:pPr>
        <w:pStyle w:val="ListParagraph"/>
        <w:widowControl/>
        <w:autoSpaceDE/>
        <w:autoSpaceDN/>
        <w:spacing w:before="60" w:after="60"/>
        <w:ind w:left="1418" w:firstLine="0"/>
        <w:contextualSpacing/>
        <w:rPr>
          <w:rFonts w:eastAsia="Times New Roman" w:cs="Times New Roman"/>
          <w:lang w:val="en-GB" w:eastAsia="en-GB"/>
        </w:rPr>
      </w:pPr>
    </w:p>
    <w:p w14:paraId="23346A91"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Once the specialist analysis is done in more detail, removing some conservatisms, it is shown that no release from the packages could reasonably occur.</w:t>
      </w:r>
    </w:p>
    <w:p w14:paraId="2CE90223"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 xml:space="preserve">While this example is at least partly about poor communication (and about a transactional approach that divides </w:t>
      </w:r>
      <w:r w:rsidR="00461AA9" w:rsidRPr="00EF0C1B">
        <w:rPr>
          <w:rFonts w:eastAsia="Times New Roman"/>
          <w:lang w:val="en-GB" w:eastAsia="en-GB"/>
        </w:rPr>
        <w:t>professionals,</w:t>
      </w:r>
      <w:r w:rsidRPr="00EF0C1B">
        <w:rPr>
          <w:rFonts w:eastAsia="Times New Roman"/>
          <w:lang w:val="en-GB" w:eastAsia="en-GB"/>
        </w:rPr>
        <w:t xml:space="preserve"> who need to talk to each other) it is also about a failure to understand the importance of conservatisms at this vital stage in fault analysis. </w:t>
      </w:r>
      <w:r w:rsidR="00461AA9">
        <w:rPr>
          <w:rFonts w:eastAsia="Times New Roman"/>
          <w:lang w:val="en-GB" w:eastAsia="en-GB"/>
        </w:rPr>
        <w:t xml:space="preserve"> </w:t>
      </w:r>
      <w:r w:rsidRPr="00EF0C1B">
        <w:rPr>
          <w:rFonts w:eastAsia="Times New Roman"/>
          <w:lang w:val="en-GB" w:eastAsia="en-GB"/>
        </w:rPr>
        <w:t>It is important to ask the right specialist and understand their speciality, for example</w:t>
      </w:r>
      <w:r w:rsidR="00461AA9">
        <w:rPr>
          <w:rFonts w:eastAsia="Times New Roman"/>
          <w:lang w:val="en-GB" w:eastAsia="en-GB"/>
        </w:rPr>
        <w:t>,</w:t>
      </w:r>
      <w:r w:rsidRPr="00EF0C1B">
        <w:rPr>
          <w:rFonts w:eastAsia="Times New Roman"/>
          <w:lang w:val="en-GB" w:eastAsia="en-GB"/>
        </w:rPr>
        <w:t xml:space="preserve"> a different specialist may be required for heat loss</w:t>
      </w:r>
      <w:r w:rsidR="00461AA9">
        <w:rPr>
          <w:rFonts w:eastAsia="Times New Roman"/>
          <w:lang w:val="en-GB" w:eastAsia="en-GB"/>
        </w:rPr>
        <w:t>,</w:t>
      </w:r>
      <w:r w:rsidRPr="00EF0C1B">
        <w:rPr>
          <w:rFonts w:eastAsia="Times New Roman"/>
          <w:lang w:val="en-GB" w:eastAsia="en-GB"/>
        </w:rPr>
        <w:t xml:space="preserve"> from the specialist for a temperature threshold for release from </w:t>
      </w:r>
      <w:r w:rsidR="00461AA9">
        <w:rPr>
          <w:rFonts w:eastAsia="Times New Roman"/>
          <w:lang w:val="en-GB" w:eastAsia="en-GB"/>
        </w:rPr>
        <w:t xml:space="preserve">the </w:t>
      </w:r>
      <w:r w:rsidRPr="00EF0C1B">
        <w:rPr>
          <w:rFonts w:eastAsia="Times New Roman"/>
          <w:lang w:val="en-GB" w:eastAsia="en-GB"/>
        </w:rPr>
        <w:t>material.</w:t>
      </w:r>
      <w:r w:rsidR="00461AA9">
        <w:rPr>
          <w:rFonts w:eastAsia="Times New Roman"/>
          <w:lang w:val="en-GB" w:eastAsia="en-GB"/>
        </w:rPr>
        <w:t xml:space="preserve"> </w:t>
      </w:r>
      <w:r w:rsidRPr="00EF0C1B">
        <w:rPr>
          <w:rFonts w:eastAsia="Times New Roman"/>
          <w:lang w:val="en-GB" w:eastAsia="en-GB"/>
        </w:rPr>
        <w:t xml:space="preserve"> Asking for an accurate thermal model might </w:t>
      </w:r>
      <w:r w:rsidR="00461AA9">
        <w:rPr>
          <w:rFonts w:eastAsia="Times New Roman"/>
          <w:lang w:val="en-GB" w:eastAsia="en-GB"/>
        </w:rPr>
        <w:t>(</w:t>
      </w:r>
      <w:r w:rsidRPr="00EF0C1B">
        <w:rPr>
          <w:rFonts w:eastAsia="Times New Roman"/>
          <w:lang w:val="en-GB" w:eastAsia="en-GB"/>
        </w:rPr>
        <w:t>in this case</w:t>
      </w:r>
      <w:r w:rsidR="00461AA9">
        <w:rPr>
          <w:rFonts w:eastAsia="Times New Roman"/>
          <w:lang w:val="en-GB" w:eastAsia="en-GB"/>
        </w:rPr>
        <w:t>)</w:t>
      </w:r>
      <w:r w:rsidRPr="00EF0C1B">
        <w:rPr>
          <w:rFonts w:eastAsia="Times New Roman"/>
          <w:lang w:val="en-GB" w:eastAsia="en-GB"/>
        </w:rPr>
        <w:t xml:space="preserve"> have been appropriate, but in addition, getting the right level of resource applied to the technical question posed, is important, as is enabling technical personnel to see the bigger picture - to understand the impact of their answer on the safety case and the operation of the relevant facility. </w:t>
      </w:r>
      <w:r w:rsidR="00461AA9">
        <w:rPr>
          <w:rFonts w:eastAsia="Times New Roman"/>
          <w:lang w:val="en-GB" w:eastAsia="en-GB"/>
        </w:rPr>
        <w:t xml:space="preserve"> </w:t>
      </w:r>
      <w:r w:rsidRPr="00EF0C1B">
        <w:rPr>
          <w:rFonts w:eastAsia="Times New Roman"/>
          <w:lang w:val="en-GB" w:eastAsia="en-GB"/>
        </w:rPr>
        <w:t>All this is only likely to work if the specialist feels part of an overall team having a common aim.</w:t>
      </w:r>
      <w:r w:rsidR="00461AA9">
        <w:rPr>
          <w:rFonts w:eastAsia="Times New Roman"/>
          <w:lang w:val="en-GB" w:eastAsia="en-GB"/>
        </w:rPr>
        <w:t xml:space="preserve"> </w:t>
      </w:r>
      <w:r w:rsidRPr="00EF0C1B">
        <w:rPr>
          <w:rFonts w:eastAsia="Times New Roman"/>
          <w:lang w:val="en-GB" w:eastAsia="en-GB"/>
        </w:rPr>
        <w:t xml:space="preserve"> Involvement of the </w:t>
      </w:r>
      <w:r w:rsidR="00461AA9">
        <w:rPr>
          <w:rFonts w:eastAsia="Times New Roman"/>
          <w:lang w:val="en-GB" w:eastAsia="en-GB"/>
        </w:rPr>
        <w:t>s</w:t>
      </w:r>
      <w:r w:rsidRPr="00EF0C1B">
        <w:rPr>
          <w:rFonts w:eastAsia="Times New Roman"/>
          <w:lang w:val="en-GB" w:eastAsia="en-GB"/>
        </w:rPr>
        <w:t xml:space="preserve">afety </w:t>
      </w:r>
      <w:r w:rsidR="00461AA9">
        <w:rPr>
          <w:rFonts w:eastAsia="Times New Roman"/>
          <w:lang w:val="en-GB" w:eastAsia="en-GB"/>
        </w:rPr>
        <w:t>c</w:t>
      </w:r>
      <w:r w:rsidRPr="00EF0C1B">
        <w:rPr>
          <w:rFonts w:eastAsia="Times New Roman"/>
          <w:lang w:val="en-GB" w:eastAsia="en-GB"/>
        </w:rPr>
        <w:t>ase Owner may be required to ensure appropriate team working across departmental boundaries.</w:t>
      </w:r>
    </w:p>
    <w:p w14:paraId="0203BACE"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Amending the scenario somewhat, if the safety assessor finds that releases from the packages have relatively low consequences, and safety criteria are easily met without any modification to the facility (and without overly-restrictive safety designations) it would not be necessary to seek further specialist advice, and it would be a reasonable assumption that releases from packages can occur.</w:t>
      </w:r>
      <w:r w:rsidR="00461AA9">
        <w:rPr>
          <w:rFonts w:eastAsia="Times New Roman"/>
          <w:lang w:val="en-GB" w:eastAsia="en-GB"/>
        </w:rPr>
        <w:t xml:space="preserve"> </w:t>
      </w:r>
      <w:r w:rsidRPr="00EF0C1B">
        <w:rPr>
          <w:rFonts w:eastAsia="Times New Roman"/>
          <w:lang w:val="en-GB" w:eastAsia="en-GB"/>
        </w:rPr>
        <w:t xml:space="preserve"> It would never be shown that releases cannot occur, but this would not matter for the safety case or its users, though risk estimates would be potentially skewed. </w:t>
      </w:r>
      <w:r w:rsidR="00461AA9">
        <w:rPr>
          <w:rFonts w:eastAsia="Times New Roman"/>
          <w:lang w:val="en-GB" w:eastAsia="en-GB"/>
        </w:rPr>
        <w:t xml:space="preserve"> </w:t>
      </w:r>
      <w:r w:rsidRPr="00EF0C1B">
        <w:rPr>
          <w:rFonts w:eastAsia="Times New Roman"/>
          <w:lang w:val="en-GB" w:eastAsia="en-GB"/>
        </w:rPr>
        <w:t>This assumption (of releases from packages occurring) should be identified in the safety case as a potential conservatism, for clarity.</w:t>
      </w:r>
    </w:p>
    <w:p w14:paraId="64222C41"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Involvement of facility operators (both operational workforce and their management) in fault identification and in fault development</w:t>
      </w:r>
      <w:r w:rsidR="00461AA9">
        <w:rPr>
          <w:rFonts w:eastAsia="Times New Roman"/>
          <w:lang w:val="en-GB" w:eastAsia="en-GB"/>
        </w:rPr>
        <w:t>,</w:t>
      </w:r>
      <w:r w:rsidRPr="00EF0C1B">
        <w:rPr>
          <w:rFonts w:eastAsia="Times New Roman"/>
          <w:lang w:val="en-GB" w:eastAsia="en-GB"/>
        </w:rPr>
        <w:t xml:space="preserve"> can help to make the fault analysis more realistic, helping to avoid both under-conservatism and over-conservatism.</w:t>
      </w:r>
    </w:p>
    <w:p w14:paraId="0E089508"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Caution is required here, because sometimes facility operators say that something can’t happen</w:t>
      </w:r>
      <w:r w:rsidR="00461AA9">
        <w:rPr>
          <w:rFonts w:eastAsia="Times New Roman"/>
          <w:lang w:val="en-GB" w:eastAsia="en-GB"/>
        </w:rPr>
        <w:t>,</w:t>
      </w:r>
      <w:r w:rsidRPr="00EF0C1B">
        <w:rPr>
          <w:rFonts w:eastAsia="Times New Roman"/>
          <w:lang w:val="en-GB" w:eastAsia="en-GB"/>
        </w:rPr>
        <w:t xml:space="preserve"> when it can</w:t>
      </w:r>
      <w:r w:rsidR="00461AA9">
        <w:rPr>
          <w:rFonts w:eastAsia="Times New Roman"/>
          <w:lang w:val="en-GB" w:eastAsia="en-GB"/>
        </w:rPr>
        <w:t>,</w:t>
      </w:r>
      <w:r w:rsidRPr="00EF0C1B">
        <w:rPr>
          <w:rFonts w:eastAsia="Times New Roman"/>
          <w:lang w:val="en-GB" w:eastAsia="en-GB"/>
        </w:rPr>
        <w:t xml:space="preserve"> but only extremely infrequently, or it can’t happen because of deterministic safety features that need to be designated on the basis of the fault potentially happening.</w:t>
      </w:r>
      <w:r w:rsidR="00461AA9">
        <w:rPr>
          <w:rFonts w:eastAsia="Times New Roman"/>
          <w:lang w:val="en-GB" w:eastAsia="en-GB"/>
        </w:rPr>
        <w:t xml:space="preserve"> </w:t>
      </w:r>
      <w:r w:rsidRPr="00EF0C1B">
        <w:rPr>
          <w:rFonts w:eastAsia="Times New Roman"/>
          <w:lang w:val="en-GB" w:eastAsia="en-GB"/>
        </w:rPr>
        <w:t xml:space="preserve"> But more often, the facility operator</w:t>
      </w:r>
      <w:r w:rsidR="00461AA9">
        <w:rPr>
          <w:rFonts w:eastAsia="Times New Roman"/>
          <w:lang w:val="en-GB" w:eastAsia="en-GB"/>
        </w:rPr>
        <w:t>’s</w:t>
      </w:r>
      <w:r w:rsidRPr="00EF0C1B">
        <w:rPr>
          <w:rFonts w:eastAsia="Times New Roman"/>
          <w:lang w:val="en-GB" w:eastAsia="en-GB"/>
        </w:rPr>
        <w:t xml:space="preserve"> view is crucial in determining a more realistic fault development.</w:t>
      </w:r>
    </w:p>
    <w:p w14:paraId="7A4A0F19"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It has been known for a safety case author</w:t>
      </w:r>
      <w:r w:rsidR="00461AA9">
        <w:rPr>
          <w:rFonts w:eastAsia="Times New Roman"/>
          <w:lang w:val="en-GB" w:eastAsia="en-GB"/>
        </w:rPr>
        <w:t xml:space="preserve"> to</w:t>
      </w:r>
      <w:r w:rsidRPr="00EF0C1B">
        <w:rPr>
          <w:rFonts w:eastAsia="Times New Roman"/>
          <w:lang w:val="en-GB" w:eastAsia="en-GB"/>
        </w:rPr>
        <w:t>:</w:t>
      </w:r>
    </w:p>
    <w:p w14:paraId="06321EF5" w14:textId="77777777" w:rsidR="00CF796F" w:rsidRPr="00EF0C1B" w:rsidRDefault="00461AA9"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B</w:t>
      </w:r>
      <w:r w:rsidR="0087786B" w:rsidRPr="00EF0C1B">
        <w:rPr>
          <w:rFonts w:eastAsia="Times New Roman" w:cs="Times New Roman"/>
          <w:lang w:val="en-GB" w:eastAsia="en-GB"/>
        </w:rPr>
        <w:t>e informed of two fires that have happened in a facility in the last ten years;</w:t>
      </w:r>
    </w:p>
    <w:p w14:paraId="4BDA4DA2" w14:textId="77777777" w:rsidR="00CF796F" w:rsidRPr="00EF0C1B" w:rsidRDefault="00461AA9"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A</w:t>
      </w:r>
      <w:r w:rsidR="0087786B" w:rsidRPr="00EF0C1B">
        <w:rPr>
          <w:rFonts w:eastAsia="Times New Roman" w:cs="Times New Roman"/>
          <w:lang w:val="en-GB" w:eastAsia="en-GB"/>
        </w:rPr>
        <w:t>rgue that fires won’t happen again because steps have been taken to prevent them from happening; and</w:t>
      </w:r>
      <w:r>
        <w:rPr>
          <w:rFonts w:eastAsia="Times New Roman" w:cs="Times New Roman"/>
          <w:lang w:val="en-GB" w:eastAsia="en-GB"/>
        </w:rPr>
        <w:t>,</w:t>
      </w:r>
    </w:p>
    <w:p w14:paraId="10E11546" w14:textId="77777777" w:rsidR="00CF796F" w:rsidRDefault="00461AA9"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T</w:t>
      </w:r>
      <w:r w:rsidR="0087786B" w:rsidRPr="00EF0C1B">
        <w:rPr>
          <w:rFonts w:eastAsia="Times New Roman" w:cs="Times New Roman"/>
          <w:lang w:val="en-GB" w:eastAsia="en-GB"/>
        </w:rPr>
        <w:t>hen use a frequency of 1E-4/y for fires in that facility.</w:t>
      </w:r>
    </w:p>
    <w:p w14:paraId="25F9D49B" w14:textId="77777777" w:rsidR="00461AA9" w:rsidRPr="00EF0C1B" w:rsidRDefault="00461AA9" w:rsidP="00461AA9">
      <w:pPr>
        <w:pStyle w:val="ListParagraph"/>
        <w:widowControl/>
        <w:autoSpaceDE/>
        <w:autoSpaceDN/>
        <w:spacing w:before="60" w:after="60"/>
        <w:ind w:left="1418" w:firstLine="0"/>
        <w:contextualSpacing/>
        <w:rPr>
          <w:rFonts w:eastAsia="Times New Roman" w:cs="Times New Roman"/>
          <w:lang w:val="en-GB" w:eastAsia="en-GB"/>
        </w:rPr>
      </w:pPr>
    </w:p>
    <w:p w14:paraId="7C5DFE4B"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This is an example of under-conservative use of information from facility operators, and of failing to learn from experience.</w:t>
      </w:r>
      <w:r w:rsidR="00461AA9">
        <w:rPr>
          <w:rFonts w:eastAsia="Times New Roman"/>
          <w:lang w:val="en-GB" w:eastAsia="en-GB"/>
        </w:rPr>
        <w:t xml:space="preserve"> </w:t>
      </w:r>
      <w:r w:rsidRPr="00EF0C1B">
        <w:rPr>
          <w:rFonts w:eastAsia="Times New Roman"/>
          <w:lang w:val="en-GB" w:eastAsia="en-GB"/>
        </w:rPr>
        <w:t xml:space="preserve"> It should be obvious that there may well be other initiators of fires that haven’t yet happened.</w:t>
      </w:r>
    </w:p>
    <w:p w14:paraId="3CF18818"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 xml:space="preserve">No matter how inconvenient, there should be a healthy respect for operational experience. </w:t>
      </w:r>
      <w:r w:rsidR="00461AA9">
        <w:rPr>
          <w:rFonts w:eastAsia="Times New Roman"/>
          <w:lang w:val="en-GB" w:eastAsia="en-GB"/>
        </w:rPr>
        <w:t xml:space="preserve"> </w:t>
      </w:r>
      <w:r w:rsidRPr="00EF0C1B">
        <w:rPr>
          <w:rFonts w:eastAsia="Times New Roman"/>
          <w:lang w:val="en-GB" w:eastAsia="en-GB"/>
        </w:rPr>
        <w:t xml:space="preserve">Use of site-specific and plant-specific reliability data can help to make safety cases more </w:t>
      </w:r>
      <w:r w:rsidRPr="00EF0C1B">
        <w:rPr>
          <w:rFonts w:eastAsia="Times New Roman"/>
          <w:lang w:val="en-GB" w:eastAsia="en-GB"/>
        </w:rPr>
        <w:lastRenderedPageBreak/>
        <w:t xml:space="preserve">realistic, and avoid both under-conservatism and over-conservatism. </w:t>
      </w:r>
      <w:r w:rsidR="00461AA9">
        <w:rPr>
          <w:rFonts w:eastAsia="Times New Roman"/>
          <w:lang w:val="en-GB" w:eastAsia="en-GB"/>
        </w:rPr>
        <w:t xml:space="preserve"> </w:t>
      </w:r>
      <w:r w:rsidRPr="00EF0C1B">
        <w:rPr>
          <w:rFonts w:eastAsia="Times New Roman"/>
          <w:lang w:val="en-GB" w:eastAsia="en-GB"/>
        </w:rPr>
        <w:t>When extrapolating data, great care is needed.</w:t>
      </w:r>
    </w:p>
    <w:p w14:paraId="18FEDC82"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Another example of over-conservatism in fault development is to assume that any earthquake bigger than the design basis earthquake is bound to result in catastrophic collapse of the structure.</w:t>
      </w:r>
      <w:r w:rsidR="00461AA9">
        <w:rPr>
          <w:rFonts w:eastAsia="Times New Roman"/>
          <w:lang w:val="en-GB" w:eastAsia="en-GB"/>
        </w:rPr>
        <w:t xml:space="preserve"> </w:t>
      </w:r>
      <w:r w:rsidRPr="00EF0C1B">
        <w:rPr>
          <w:rFonts w:eastAsia="Times New Roman"/>
          <w:lang w:val="en-GB" w:eastAsia="en-GB"/>
        </w:rPr>
        <w:t xml:space="preserve"> It is likely that there will be ‘graceful degradation’ rather than catastrophic collapse for an earthquake that is only a little larger than the DBE; if credit is taken for this, it should be substantiated.</w:t>
      </w:r>
      <w:r w:rsidR="00461AA9">
        <w:rPr>
          <w:rFonts w:eastAsia="Times New Roman"/>
          <w:lang w:val="en-GB" w:eastAsia="en-GB"/>
        </w:rPr>
        <w:t xml:space="preserve"> </w:t>
      </w:r>
      <w:r w:rsidRPr="00EF0C1B">
        <w:rPr>
          <w:rFonts w:eastAsia="Times New Roman"/>
          <w:lang w:val="en-GB" w:eastAsia="en-GB"/>
        </w:rPr>
        <w:t xml:space="preserve"> On the other hand, in general cliff- edge effects beyond design basis need to be considered for the PSA.</w:t>
      </w:r>
      <w:r w:rsidR="00461AA9">
        <w:rPr>
          <w:rFonts w:eastAsia="Times New Roman"/>
          <w:lang w:val="en-GB" w:eastAsia="en-GB"/>
        </w:rPr>
        <w:t xml:space="preserve"> </w:t>
      </w:r>
      <w:r w:rsidRPr="00EF0C1B">
        <w:rPr>
          <w:rFonts w:eastAsia="Times New Roman"/>
          <w:lang w:val="en-GB" w:eastAsia="en-GB"/>
        </w:rPr>
        <w:t xml:space="preserve"> For example, a tsunami that is only a little higher than a design basis tsunami wall could have catastrophic effects.</w:t>
      </w:r>
    </w:p>
    <w:p w14:paraId="045E2E43"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If novel technology is being employed, it is particularly important to beware of potential cliff-edge effects or unusual failure modes, as there is a higher risk of under- conservatism in these cases.</w:t>
      </w:r>
    </w:p>
    <w:p w14:paraId="2C217B4F" w14:textId="77777777" w:rsidR="00CF796F" w:rsidRPr="00EF0C1B" w:rsidRDefault="0087786B" w:rsidP="00EF0C1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When modelling potential events that have not occurred, it is easy to make incorrect and under-conservative (or even optimistic) assumptions about the availability of equipment, or that a control room is still inhabitable (this can be in the form of an implicit assumption, when it is assumed that action can be initiated from the control room).</w:t>
      </w:r>
    </w:p>
    <w:p w14:paraId="1B845DAB" w14:textId="77777777" w:rsidR="00CF796F" w:rsidRPr="002B37CB" w:rsidRDefault="0087786B" w:rsidP="002B37CB">
      <w:pPr>
        <w:pStyle w:val="ListParagraph"/>
        <w:widowControl/>
        <w:autoSpaceDE/>
        <w:autoSpaceDN/>
        <w:spacing w:before="120" w:after="120"/>
        <w:ind w:left="851" w:firstLine="0"/>
        <w:rPr>
          <w:rFonts w:eastAsia="Times New Roman"/>
          <w:lang w:val="en-GB" w:eastAsia="en-GB"/>
        </w:rPr>
      </w:pPr>
      <w:r w:rsidRPr="00EF0C1B">
        <w:rPr>
          <w:rFonts w:eastAsia="Times New Roman"/>
          <w:lang w:val="en-GB" w:eastAsia="en-GB"/>
        </w:rPr>
        <w:t>Most of the thoughts in this section relating to fault progression apply also to the process of fault identification, where it is important not to dismiss credible faults.</w:t>
      </w:r>
      <w:r w:rsidR="002B37CB">
        <w:rPr>
          <w:rFonts w:eastAsia="Times New Roman"/>
          <w:lang w:val="en-GB" w:eastAsia="en-GB"/>
        </w:rPr>
        <w:t xml:space="preserve"> </w:t>
      </w:r>
      <w:r w:rsidRPr="00EF0C1B">
        <w:rPr>
          <w:rFonts w:eastAsia="Times New Roman"/>
          <w:lang w:val="en-GB" w:eastAsia="en-GB"/>
        </w:rPr>
        <w:t xml:space="preserve"> If they are wrongly dismissed at that stage in the process, it is perfectly possible for the under-conservatism to remain.</w:t>
      </w:r>
    </w:p>
    <w:p w14:paraId="400A260A" w14:textId="77777777" w:rsidR="00CF796F" w:rsidRDefault="002B37CB" w:rsidP="002B37CB">
      <w:pPr>
        <w:pStyle w:val="Heading2"/>
      </w:pPr>
      <w:bookmarkStart w:id="31" w:name="_Toc50110453"/>
      <w:r>
        <w:t>6.3</w:t>
      </w:r>
      <w:r>
        <w:tab/>
      </w:r>
      <w:r w:rsidR="0087786B">
        <w:t>Achieving a Balance in Consequence Assessment</w:t>
      </w:r>
      <w:bookmarkEnd w:id="31"/>
    </w:p>
    <w:p w14:paraId="60621AF5" w14:textId="77777777" w:rsidR="00CF796F" w:rsidRPr="00CD243B" w:rsidRDefault="0087786B" w:rsidP="00CD243B">
      <w:pPr>
        <w:pStyle w:val="ListParagraph"/>
        <w:widowControl/>
        <w:autoSpaceDE/>
        <w:autoSpaceDN/>
        <w:spacing w:before="120" w:after="120"/>
        <w:ind w:left="851" w:firstLine="0"/>
        <w:rPr>
          <w:rFonts w:eastAsia="Times New Roman"/>
          <w:lang w:val="en-GB" w:eastAsia="en-GB"/>
        </w:rPr>
      </w:pPr>
      <w:r w:rsidRPr="00CD243B">
        <w:rPr>
          <w:rFonts w:eastAsia="Times New Roman"/>
          <w:lang w:val="en-GB" w:eastAsia="en-GB"/>
        </w:rPr>
        <w:t>Different consequence assessments make different assumptions, but for example</w:t>
      </w:r>
      <w:r w:rsidR="00CD243B">
        <w:rPr>
          <w:rFonts w:eastAsia="Times New Roman"/>
          <w:lang w:val="en-GB" w:eastAsia="en-GB"/>
        </w:rPr>
        <w:t>,</w:t>
      </w:r>
      <w:r w:rsidRPr="00CD243B">
        <w:rPr>
          <w:rFonts w:eastAsia="Times New Roman"/>
          <w:lang w:val="en-GB" w:eastAsia="en-GB"/>
        </w:rPr>
        <w:t xml:space="preserve"> for an aerial release off-site there are a large number of elements in the calculation (and associated uncertainties):</w:t>
      </w:r>
    </w:p>
    <w:p w14:paraId="2EB1143A"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inventory (how much of which radionuclides)</w:t>
      </w:r>
      <w:r w:rsidR="00CD243B">
        <w:rPr>
          <w:rFonts w:eastAsia="Times New Roman" w:cs="Times New Roman"/>
          <w:lang w:val="en-GB" w:eastAsia="en-GB"/>
        </w:rPr>
        <w:t>;</w:t>
      </w:r>
    </w:p>
    <w:p w14:paraId="5A61CC23"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physical and chemical form of the material</w:t>
      </w:r>
      <w:r w:rsidR="00CD243B">
        <w:rPr>
          <w:rFonts w:eastAsia="Times New Roman" w:cs="Times New Roman"/>
          <w:lang w:val="en-GB" w:eastAsia="en-GB"/>
        </w:rPr>
        <w:t>;</w:t>
      </w:r>
    </w:p>
    <w:p w14:paraId="74E13719"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Release Fraction in the postulated accident</w:t>
      </w:r>
      <w:r w:rsidR="00CD243B">
        <w:rPr>
          <w:rFonts w:eastAsia="Times New Roman" w:cs="Times New Roman"/>
          <w:lang w:val="en-GB" w:eastAsia="en-GB"/>
        </w:rPr>
        <w:t>;</w:t>
      </w:r>
    </w:p>
    <w:p w14:paraId="7F0BB8DB"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settling of particles of different sizes</w:t>
      </w:r>
      <w:r w:rsidR="00CD243B">
        <w:rPr>
          <w:rFonts w:eastAsia="Times New Roman" w:cs="Times New Roman"/>
          <w:lang w:val="en-GB" w:eastAsia="en-GB"/>
        </w:rPr>
        <w:t>;</w:t>
      </w:r>
    </w:p>
    <w:p w14:paraId="7FBFB6A5"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model assumed for dispersion of the ‘cloud’ of airborne activity</w:t>
      </w:r>
      <w:r w:rsidR="00CD243B">
        <w:rPr>
          <w:rFonts w:eastAsia="Times New Roman" w:cs="Times New Roman"/>
          <w:lang w:val="en-GB" w:eastAsia="en-GB"/>
        </w:rPr>
        <w:t>;</w:t>
      </w:r>
    </w:p>
    <w:p w14:paraId="78CED957"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Weather category or categories</w:t>
      </w:r>
      <w:r w:rsidR="00CD243B">
        <w:rPr>
          <w:rFonts w:eastAsia="Times New Roman" w:cs="Times New Roman"/>
          <w:lang w:val="en-GB" w:eastAsia="en-GB"/>
        </w:rPr>
        <w:t>;</w:t>
      </w:r>
    </w:p>
    <w:p w14:paraId="3274D31F"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breathing rate for members of the public, and their distance from the release point</w:t>
      </w:r>
      <w:r w:rsidR="00CD243B">
        <w:rPr>
          <w:rFonts w:eastAsia="Times New Roman" w:cs="Times New Roman"/>
          <w:lang w:val="en-GB" w:eastAsia="en-GB"/>
        </w:rPr>
        <w:t>;</w:t>
      </w:r>
    </w:p>
    <w:p w14:paraId="46D4111F"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Dry deposition rates and wet deposition rates</w:t>
      </w:r>
      <w:r w:rsidR="00CD243B">
        <w:rPr>
          <w:rFonts w:eastAsia="Times New Roman" w:cs="Times New Roman"/>
          <w:lang w:val="en-GB" w:eastAsia="en-GB"/>
        </w:rPr>
        <w:t>;</w:t>
      </w:r>
    </w:p>
    <w:p w14:paraId="50A1A954"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Models for transfer of radionuclides in the environment to the food chain</w:t>
      </w:r>
      <w:r w:rsidR="00CD243B">
        <w:rPr>
          <w:rFonts w:eastAsia="Times New Roman" w:cs="Times New Roman"/>
          <w:lang w:val="en-GB" w:eastAsia="en-GB"/>
        </w:rPr>
        <w:t>;</w:t>
      </w:r>
    </w:p>
    <w:p w14:paraId="64E9D7E6"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Consumption rates for different types of food</w:t>
      </w:r>
      <w:r w:rsidR="00CD243B">
        <w:rPr>
          <w:rFonts w:eastAsia="Times New Roman" w:cs="Times New Roman"/>
          <w:lang w:val="en-GB" w:eastAsia="en-GB"/>
        </w:rPr>
        <w:t>;</w:t>
      </w:r>
    </w:p>
    <w:p w14:paraId="7A0C9155" w14:textId="77777777" w:rsidR="00CF796F" w:rsidRPr="00EF0C1B"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activity median aerodynamic diameter (AMAD) of the airborne material when it is breathed in</w:t>
      </w:r>
      <w:r w:rsidR="00CD243B">
        <w:rPr>
          <w:rFonts w:eastAsia="Times New Roman" w:cs="Times New Roman"/>
          <w:lang w:val="en-GB" w:eastAsia="en-GB"/>
        </w:rPr>
        <w:t>;</w:t>
      </w:r>
    </w:p>
    <w:p w14:paraId="4F30509B" w14:textId="77777777" w:rsidR="00CF796F" w:rsidRDefault="0087786B" w:rsidP="00EF0C1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EF0C1B">
        <w:rPr>
          <w:rFonts w:eastAsia="Times New Roman" w:cs="Times New Roman"/>
          <w:lang w:val="en-GB" w:eastAsia="en-GB"/>
        </w:rPr>
        <w:t>The model assumed for converting activity inhaled/ingested into dose.</w:t>
      </w:r>
    </w:p>
    <w:p w14:paraId="0B91255A" w14:textId="77777777" w:rsidR="00CD243B" w:rsidRPr="00EF0C1B" w:rsidRDefault="00CD243B" w:rsidP="00CD243B">
      <w:pPr>
        <w:pStyle w:val="ListParagraph"/>
        <w:widowControl/>
        <w:autoSpaceDE/>
        <w:autoSpaceDN/>
        <w:spacing w:before="60" w:after="60"/>
        <w:ind w:left="1418" w:firstLine="0"/>
        <w:contextualSpacing/>
        <w:rPr>
          <w:rFonts w:eastAsia="Times New Roman" w:cs="Times New Roman"/>
          <w:lang w:val="en-GB" w:eastAsia="en-GB"/>
        </w:rPr>
      </w:pPr>
    </w:p>
    <w:p w14:paraId="5A529568" w14:textId="77777777" w:rsidR="00CF796F" w:rsidRPr="00CD243B" w:rsidRDefault="0087786B" w:rsidP="00CD243B">
      <w:pPr>
        <w:pStyle w:val="ListParagraph"/>
        <w:widowControl/>
        <w:autoSpaceDE/>
        <w:autoSpaceDN/>
        <w:spacing w:before="120" w:after="120"/>
        <w:ind w:left="851" w:firstLine="0"/>
        <w:rPr>
          <w:rFonts w:eastAsia="Times New Roman"/>
          <w:lang w:val="en-GB" w:eastAsia="en-GB"/>
        </w:rPr>
      </w:pPr>
      <w:r w:rsidRPr="00CD243B">
        <w:rPr>
          <w:rFonts w:eastAsia="Times New Roman"/>
          <w:lang w:val="en-GB" w:eastAsia="en-GB"/>
        </w:rPr>
        <w:t xml:space="preserve">Many of these assumptions include a degree of conservatism, most of which cannot be easily quantified. </w:t>
      </w:r>
      <w:r w:rsidR="00CD243B">
        <w:rPr>
          <w:rFonts w:eastAsia="Times New Roman"/>
          <w:lang w:val="en-GB" w:eastAsia="en-GB"/>
        </w:rPr>
        <w:t xml:space="preserve"> </w:t>
      </w:r>
      <w:r w:rsidRPr="00CD243B">
        <w:rPr>
          <w:rFonts w:eastAsia="Times New Roman"/>
          <w:lang w:val="en-GB" w:eastAsia="en-GB"/>
        </w:rPr>
        <w:t>Some assumptions can be quantified, for example, some models for food consumption assume 97.5</w:t>
      </w:r>
      <w:r w:rsidRPr="00CD243B">
        <w:rPr>
          <w:rFonts w:eastAsia="Times New Roman"/>
          <w:vertAlign w:val="superscript"/>
          <w:lang w:val="en-GB" w:eastAsia="en-GB"/>
        </w:rPr>
        <w:t>th</w:t>
      </w:r>
      <w:r w:rsidRPr="00CD243B">
        <w:rPr>
          <w:rFonts w:eastAsia="Times New Roman"/>
          <w:lang w:val="en-GB" w:eastAsia="en-GB"/>
        </w:rPr>
        <w:t xml:space="preserve"> centile consumption rates. </w:t>
      </w:r>
      <w:r w:rsidR="00CD243B">
        <w:rPr>
          <w:rFonts w:eastAsia="Times New Roman"/>
          <w:lang w:val="en-GB" w:eastAsia="en-GB"/>
        </w:rPr>
        <w:t xml:space="preserve"> </w:t>
      </w:r>
      <w:r w:rsidRPr="00CD243B">
        <w:rPr>
          <w:rFonts w:eastAsia="Times New Roman"/>
          <w:lang w:val="en-GB" w:eastAsia="en-GB"/>
        </w:rPr>
        <w:t>Release Fractions and Decontamination Factors are usually set on the conservative side, but it is not generally known by how much.</w:t>
      </w:r>
    </w:p>
    <w:p w14:paraId="2D3A9AF6" w14:textId="52CE1D60" w:rsidR="00CF796F" w:rsidRPr="00CD243B" w:rsidRDefault="0087786B" w:rsidP="00CD243B">
      <w:pPr>
        <w:pStyle w:val="ListParagraph"/>
        <w:widowControl/>
        <w:autoSpaceDE/>
        <w:autoSpaceDN/>
        <w:spacing w:before="120" w:after="120"/>
        <w:ind w:left="851" w:firstLine="0"/>
        <w:rPr>
          <w:rFonts w:eastAsia="Times New Roman"/>
          <w:lang w:val="en-GB" w:eastAsia="en-GB"/>
        </w:rPr>
      </w:pPr>
      <w:r w:rsidRPr="00826413">
        <w:rPr>
          <w:rFonts w:eastAsia="Times New Roman"/>
          <w:color w:val="000000" w:themeColor="text1"/>
          <w:lang w:val="en-GB" w:eastAsia="en-GB"/>
        </w:rPr>
        <w:t xml:space="preserve">Principle FA.7 in the SAPs (Reference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_Ref50109951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1</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expects </w:t>
      </w:r>
      <w:r w:rsidRPr="00CD243B">
        <w:rPr>
          <w:rFonts w:eastAsia="Times New Roman"/>
          <w:lang w:val="en-GB" w:eastAsia="en-GB"/>
        </w:rPr>
        <w:t>conservative consequences for DBA, not worst-case consequences.</w:t>
      </w:r>
      <w:r w:rsidR="00CD243B">
        <w:rPr>
          <w:rFonts w:eastAsia="Times New Roman"/>
          <w:lang w:val="en-GB" w:eastAsia="en-GB"/>
        </w:rPr>
        <w:t xml:space="preserve"> </w:t>
      </w:r>
      <w:r w:rsidRPr="00CD243B">
        <w:rPr>
          <w:rFonts w:eastAsia="Times New Roman"/>
          <w:lang w:val="en-GB" w:eastAsia="en-GB"/>
        </w:rPr>
        <w:t xml:space="preserve"> Within the DBA </w:t>
      </w:r>
      <w:r w:rsidRPr="00826413">
        <w:rPr>
          <w:rFonts w:eastAsia="Times New Roman"/>
          <w:color w:val="000000" w:themeColor="text1"/>
          <w:lang w:val="en-GB" w:eastAsia="en-GB"/>
        </w:rPr>
        <w:t xml:space="preserve">section of 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_Ref50109951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1</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the only </w:t>
      </w:r>
      <w:r w:rsidRPr="00CD243B">
        <w:rPr>
          <w:rFonts w:eastAsia="Times New Roman"/>
          <w:lang w:val="en-GB" w:eastAsia="en-GB"/>
        </w:rPr>
        <w:t>inclusion of the word ‘worst’ relates to ‘the worst normally permitted configuration of equipment outages for maintenance, test or repair’</w:t>
      </w:r>
      <w:r w:rsidR="00826413">
        <w:rPr>
          <w:rFonts w:eastAsia="Times New Roman"/>
          <w:lang w:val="en-GB" w:eastAsia="en-GB"/>
        </w:rPr>
        <w:t>.</w:t>
      </w:r>
    </w:p>
    <w:p w14:paraId="3C57A396" w14:textId="77777777" w:rsidR="00CF796F" w:rsidRPr="002156E5" w:rsidRDefault="0087786B" w:rsidP="00CD243B">
      <w:pPr>
        <w:pStyle w:val="ListParagraph"/>
        <w:widowControl/>
        <w:autoSpaceDE/>
        <w:autoSpaceDN/>
        <w:spacing w:before="120" w:after="120"/>
        <w:ind w:left="851" w:firstLine="0"/>
        <w:rPr>
          <w:rFonts w:eastAsia="Times New Roman"/>
          <w:lang w:val="en-GB" w:eastAsia="en-GB"/>
        </w:rPr>
      </w:pPr>
      <w:r w:rsidRPr="00CD243B">
        <w:rPr>
          <w:rFonts w:eastAsia="Times New Roman"/>
          <w:lang w:val="en-GB" w:eastAsia="en-GB"/>
        </w:rPr>
        <w:lastRenderedPageBreak/>
        <w:t>One licensee, that routinely produces two sets of consequences (worst</w:t>
      </w:r>
      <w:r w:rsidR="002156E5">
        <w:rPr>
          <w:rFonts w:eastAsia="Times New Roman"/>
          <w:lang w:val="en-GB" w:eastAsia="en-GB"/>
        </w:rPr>
        <w:t>-</w:t>
      </w:r>
      <w:r w:rsidRPr="00CD243B">
        <w:rPr>
          <w:rFonts w:eastAsia="Times New Roman"/>
          <w:lang w:val="en-GB" w:eastAsia="en-GB"/>
        </w:rPr>
        <w:t>case and best estimate) reviewed the assumptions in the calculations behind these two sets.</w:t>
      </w:r>
      <w:r w:rsidR="00CD243B">
        <w:rPr>
          <w:rFonts w:eastAsia="Times New Roman"/>
          <w:lang w:val="en-GB" w:eastAsia="en-GB"/>
        </w:rPr>
        <w:t xml:space="preserve">  </w:t>
      </w:r>
      <w:r w:rsidRPr="002156E5">
        <w:rPr>
          <w:rFonts w:eastAsia="Times New Roman"/>
          <w:lang w:val="en-GB" w:eastAsia="en-GB"/>
        </w:rPr>
        <w:t xml:space="preserve">For internal dose assessments, there was a factor between these sets of around 200. </w:t>
      </w:r>
      <w:r w:rsidR="002156E5">
        <w:rPr>
          <w:rFonts w:eastAsia="Times New Roman"/>
          <w:lang w:val="en-GB" w:eastAsia="en-GB"/>
        </w:rPr>
        <w:t xml:space="preserve"> </w:t>
      </w:r>
      <w:r w:rsidRPr="002156E5">
        <w:rPr>
          <w:rFonts w:eastAsia="Times New Roman"/>
          <w:lang w:val="en-GB" w:eastAsia="en-GB"/>
        </w:rPr>
        <w:t xml:space="preserve">When the assumptions behind the best estimate were reviewed, it was found that the best estimate itself contained many conservatisms, and gave a value that was considered after review to be appropriately conservative. </w:t>
      </w:r>
      <w:r w:rsidR="002156E5">
        <w:rPr>
          <w:rFonts w:eastAsia="Times New Roman"/>
          <w:lang w:val="en-GB" w:eastAsia="en-GB"/>
        </w:rPr>
        <w:t xml:space="preserve"> </w:t>
      </w:r>
      <w:r w:rsidRPr="002156E5">
        <w:rPr>
          <w:rFonts w:eastAsia="Times New Roman"/>
          <w:lang w:val="en-GB" w:eastAsia="en-GB"/>
        </w:rPr>
        <w:t>This implies that the worst</w:t>
      </w:r>
      <w:r w:rsidR="002156E5">
        <w:rPr>
          <w:rFonts w:eastAsia="Times New Roman"/>
          <w:lang w:val="en-GB" w:eastAsia="en-GB"/>
        </w:rPr>
        <w:t>-</w:t>
      </w:r>
      <w:r w:rsidRPr="002156E5">
        <w:rPr>
          <w:rFonts w:eastAsia="Times New Roman"/>
          <w:lang w:val="en-GB" w:eastAsia="en-GB"/>
        </w:rPr>
        <w:t xml:space="preserve">case consequences were overly conservative. </w:t>
      </w:r>
      <w:r w:rsidR="002156E5">
        <w:rPr>
          <w:rFonts w:eastAsia="Times New Roman"/>
          <w:lang w:val="en-GB" w:eastAsia="en-GB"/>
        </w:rPr>
        <w:t xml:space="preserve"> </w:t>
      </w:r>
      <w:r w:rsidRPr="002156E5">
        <w:rPr>
          <w:rFonts w:eastAsia="Times New Roman"/>
          <w:lang w:val="en-GB" w:eastAsia="en-GB"/>
        </w:rPr>
        <w:t>In general, it may be appropriate to assess true best estimate consequences so that a comparison can be carried out.</w:t>
      </w:r>
    </w:p>
    <w:p w14:paraId="092B91A1" w14:textId="77777777" w:rsidR="00CF796F" w:rsidRPr="002156E5" w:rsidRDefault="0087786B" w:rsidP="002156E5">
      <w:pPr>
        <w:pStyle w:val="ListParagraph"/>
        <w:widowControl/>
        <w:autoSpaceDE/>
        <w:autoSpaceDN/>
        <w:spacing w:before="120" w:after="120"/>
        <w:ind w:left="851" w:firstLine="0"/>
        <w:rPr>
          <w:rFonts w:eastAsia="Times New Roman"/>
          <w:lang w:val="en-GB" w:eastAsia="en-GB"/>
        </w:rPr>
      </w:pPr>
      <w:r w:rsidRPr="002156E5">
        <w:rPr>
          <w:rFonts w:eastAsia="Times New Roman"/>
          <w:lang w:val="en-GB" w:eastAsia="en-GB"/>
        </w:rPr>
        <w:t xml:space="preserve">It is worth checking the dose resulting from calculations, to see if it matches expectations. </w:t>
      </w:r>
      <w:r w:rsidR="002156E5">
        <w:rPr>
          <w:rFonts w:eastAsia="Times New Roman"/>
          <w:lang w:val="en-GB" w:eastAsia="en-GB"/>
        </w:rPr>
        <w:t xml:space="preserve"> </w:t>
      </w:r>
      <w:r w:rsidRPr="002156E5">
        <w:rPr>
          <w:rFonts w:eastAsia="Times New Roman"/>
          <w:lang w:val="en-GB" w:eastAsia="en-GB"/>
        </w:rPr>
        <w:t xml:space="preserve">If a &gt;2 </w:t>
      </w:r>
      <w:proofErr w:type="spellStart"/>
      <w:r w:rsidRPr="002156E5">
        <w:rPr>
          <w:rFonts w:eastAsia="Times New Roman"/>
          <w:lang w:val="en-GB" w:eastAsia="en-GB"/>
        </w:rPr>
        <w:t>Sv</w:t>
      </w:r>
      <w:proofErr w:type="spellEnd"/>
      <w:r w:rsidRPr="002156E5">
        <w:rPr>
          <w:rFonts w:eastAsia="Times New Roman"/>
          <w:lang w:val="en-GB" w:eastAsia="en-GB"/>
        </w:rPr>
        <w:t xml:space="preserve"> dose is calculated for release of a material generally considered to be low hazard, it may be that there is an error in the calculation waiting to be discovered. </w:t>
      </w:r>
      <w:r w:rsidR="002156E5">
        <w:rPr>
          <w:rFonts w:eastAsia="Times New Roman"/>
          <w:lang w:val="en-GB" w:eastAsia="en-GB"/>
        </w:rPr>
        <w:t xml:space="preserve"> </w:t>
      </w:r>
      <w:r w:rsidRPr="002156E5">
        <w:rPr>
          <w:rFonts w:eastAsia="Times New Roman"/>
          <w:lang w:val="en-GB" w:eastAsia="en-GB"/>
        </w:rPr>
        <w:t>In general, author self-checking of documents for under-conservatism or over-conservatism is good practice.</w:t>
      </w:r>
    </w:p>
    <w:p w14:paraId="677E82AF" w14:textId="77777777" w:rsidR="00CF796F" w:rsidRPr="002156E5" w:rsidRDefault="0087786B" w:rsidP="002156E5">
      <w:pPr>
        <w:pStyle w:val="ListParagraph"/>
        <w:widowControl/>
        <w:autoSpaceDE/>
        <w:autoSpaceDN/>
        <w:spacing w:before="120" w:after="120"/>
        <w:ind w:left="851" w:firstLine="0"/>
        <w:rPr>
          <w:rFonts w:eastAsia="Times New Roman"/>
          <w:lang w:val="en-GB" w:eastAsia="en-GB"/>
        </w:rPr>
      </w:pPr>
      <w:r w:rsidRPr="002156E5">
        <w:rPr>
          <w:rFonts w:eastAsia="Times New Roman"/>
          <w:lang w:val="en-GB" w:eastAsia="en-GB"/>
        </w:rPr>
        <w:t>If an assessed dose is just above a consequence threshold, e.g. in the range</w:t>
      </w:r>
      <w:r w:rsidR="002156E5">
        <w:rPr>
          <w:rFonts w:eastAsia="Times New Roman"/>
          <w:lang w:val="en-GB" w:eastAsia="en-GB"/>
        </w:rPr>
        <w:t xml:space="preserve"> </w:t>
      </w:r>
      <w:r w:rsidRPr="002156E5">
        <w:rPr>
          <w:rFonts w:eastAsia="Times New Roman"/>
          <w:lang w:val="en-GB" w:eastAsia="en-GB"/>
        </w:rPr>
        <w:t xml:space="preserve">20-40 mSv, it is usually worth looking intensively for any unnecessarily excessive conservatisms that can be removed while still leaving sufficient conservatism to address any uncertainty, as reducing the dose below the threshold may result in safety requirements that are more appropriate to the actual risk, as well as making the rest of the safety assessment significantly easier. </w:t>
      </w:r>
      <w:r w:rsidR="002156E5">
        <w:rPr>
          <w:rFonts w:eastAsia="Times New Roman"/>
          <w:lang w:val="en-GB" w:eastAsia="en-GB"/>
        </w:rPr>
        <w:t xml:space="preserve"> </w:t>
      </w:r>
      <w:r w:rsidRPr="002156E5">
        <w:rPr>
          <w:rFonts w:eastAsia="Times New Roman"/>
          <w:lang w:val="en-GB" w:eastAsia="en-GB"/>
        </w:rPr>
        <w:t>If a calculated value is just below a threshold (19 mSv, say), and if the calculations have used considerable and demonstrable conservatism to produce a sub-threshold value, then that value should be used, rather than it being artificially ‘bumped-up’ to above the threshold, simply because it is close to it – 19 is always less than 20, and the ‘real’ value is more likely to be closer to 1.9 or even 0.19.</w:t>
      </w:r>
    </w:p>
    <w:p w14:paraId="7B68726D" w14:textId="77777777" w:rsidR="00CF796F" w:rsidRPr="002156E5" w:rsidRDefault="0087786B" w:rsidP="002156E5">
      <w:pPr>
        <w:pStyle w:val="ListParagraph"/>
        <w:widowControl/>
        <w:autoSpaceDE/>
        <w:autoSpaceDN/>
        <w:spacing w:before="120" w:after="120"/>
        <w:ind w:left="851" w:firstLine="0"/>
        <w:rPr>
          <w:rFonts w:eastAsia="Times New Roman"/>
          <w:lang w:val="en-GB" w:eastAsia="en-GB"/>
        </w:rPr>
      </w:pPr>
      <w:r w:rsidRPr="002156E5">
        <w:rPr>
          <w:rFonts w:eastAsia="Times New Roman"/>
          <w:lang w:val="en-GB" w:eastAsia="en-GB"/>
        </w:rPr>
        <w:t xml:space="preserve">An example of over-conservatism in consequence analysis is not to take credit for deterministic safety features, e.g. vessels, cell walls, etc. </w:t>
      </w:r>
      <w:r w:rsidR="002156E5">
        <w:rPr>
          <w:rFonts w:eastAsia="Times New Roman"/>
          <w:lang w:val="en-GB" w:eastAsia="en-GB"/>
        </w:rPr>
        <w:t xml:space="preserve"> </w:t>
      </w:r>
      <w:r w:rsidRPr="002156E5">
        <w:rPr>
          <w:rFonts w:eastAsia="Times New Roman"/>
          <w:lang w:val="en-GB" w:eastAsia="en-GB"/>
        </w:rPr>
        <w:t>As long as they would not be affected by the scenario (e.g. in an explosion) credit should be taken for these, unless there are major difficulties with their substantiation.</w:t>
      </w:r>
    </w:p>
    <w:p w14:paraId="70FAAD4A" w14:textId="4223E195" w:rsidR="00CF796F" w:rsidRPr="002156E5" w:rsidRDefault="0087786B" w:rsidP="002156E5">
      <w:pPr>
        <w:pStyle w:val="ListParagraph"/>
        <w:widowControl/>
        <w:autoSpaceDE/>
        <w:autoSpaceDN/>
        <w:spacing w:before="120" w:after="120"/>
        <w:ind w:left="851" w:firstLine="0"/>
        <w:rPr>
          <w:rFonts w:eastAsia="Times New Roman"/>
          <w:lang w:val="en-GB" w:eastAsia="en-GB"/>
        </w:rPr>
      </w:pPr>
      <w:r w:rsidRPr="00826413">
        <w:rPr>
          <w:rFonts w:eastAsia="Times New Roman"/>
          <w:color w:val="000000" w:themeColor="text1"/>
          <w:lang w:val="en-GB" w:eastAsia="en-GB"/>
        </w:rPr>
        <w:t xml:space="preserve">Reference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_Ref50110074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4</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gives guidance </w:t>
      </w:r>
      <w:r w:rsidRPr="002156E5">
        <w:rPr>
          <w:rFonts w:eastAsia="Times New Roman"/>
          <w:lang w:val="en-GB" w:eastAsia="en-GB"/>
        </w:rPr>
        <w:t>on conservative exposure durations for unmitigated worker doses in Design Basis Analysis.</w:t>
      </w:r>
    </w:p>
    <w:p w14:paraId="5BD6ED16" w14:textId="77777777" w:rsidR="00CF796F" w:rsidRPr="002156E5" w:rsidRDefault="0087786B" w:rsidP="002156E5">
      <w:pPr>
        <w:pStyle w:val="ListParagraph"/>
        <w:widowControl/>
        <w:autoSpaceDE/>
        <w:autoSpaceDN/>
        <w:spacing w:before="120" w:after="120"/>
        <w:ind w:left="851" w:firstLine="0"/>
        <w:rPr>
          <w:rFonts w:eastAsia="Times New Roman"/>
          <w:lang w:val="en-GB" w:eastAsia="en-GB"/>
        </w:rPr>
      </w:pPr>
      <w:r w:rsidRPr="002156E5">
        <w:rPr>
          <w:rFonts w:eastAsia="Times New Roman"/>
          <w:lang w:val="en-GB" w:eastAsia="en-GB"/>
        </w:rPr>
        <w:t xml:space="preserve">In terms of the </w:t>
      </w:r>
      <w:r w:rsidRPr="002156E5">
        <w:rPr>
          <w:rFonts w:eastAsia="Times New Roman"/>
          <w:b/>
          <w:bCs/>
          <w:lang w:val="en-GB" w:eastAsia="en-GB"/>
        </w:rPr>
        <w:t>uncertainty associated with inventory</w:t>
      </w:r>
      <w:r w:rsidRPr="002156E5">
        <w:rPr>
          <w:rFonts w:eastAsia="Times New Roman"/>
          <w:lang w:val="en-GB" w:eastAsia="en-GB"/>
        </w:rPr>
        <w:t xml:space="preserve">, this can occasionally be described well in statistical terms - this can be described as ‘known uncertainty’. </w:t>
      </w:r>
      <w:r w:rsidR="002156E5">
        <w:rPr>
          <w:rFonts w:eastAsia="Times New Roman"/>
          <w:lang w:val="en-GB" w:eastAsia="en-GB"/>
        </w:rPr>
        <w:t xml:space="preserve"> </w:t>
      </w:r>
      <w:r w:rsidRPr="002156E5">
        <w:rPr>
          <w:rFonts w:eastAsia="Times New Roman"/>
          <w:lang w:val="en-GB" w:eastAsia="en-GB"/>
        </w:rPr>
        <w:t>For example, the distribution of alpha activity in 10,000 consignments of waste can be described as follows:</w:t>
      </w:r>
    </w:p>
    <w:p w14:paraId="5F5252E9" w14:textId="77777777" w:rsidR="00CF796F" w:rsidRPr="00BA1784"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Average (mean) activity:</w:t>
      </w:r>
      <w:r w:rsidRPr="00BA1784">
        <w:rPr>
          <w:rFonts w:eastAsia="Times New Roman" w:cs="Times New Roman"/>
          <w:lang w:val="en-GB" w:eastAsia="en-GB"/>
        </w:rPr>
        <w:tab/>
        <w:t xml:space="preserve">0.3 </w:t>
      </w:r>
      <w:proofErr w:type="spellStart"/>
      <w:r w:rsidRPr="00BA1784">
        <w:rPr>
          <w:rFonts w:eastAsia="Times New Roman" w:cs="Times New Roman"/>
          <w:lang w:val="en-GB" w:eastAsia="en-GB"/>
        </w:rPr>
        <w:t>GBq</w:t>
      </w:r>
      <w:proofErr w:type="spellEnd"/>
      <w:r w:rsidR="00BA1784">
        <w:rPr>
          <w:rFonts w:eastAsia="Times New Roman" w:cs="Times New Roman"/>
          <w:lang w:val="en-GB" w:eastAsia="en-GB"/>
        </w:rPr>
        <w:t>.</w:t>
      </w:r>
    </w:p>
    <w:p w14:paraId="7443A063" w14:textId="77777777" w:rsidR="00CF796F" w:rsidRPr="00BA1784"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90th centile:</w:t>
      </w:r>
      <w:r w:rsidRPr="00BA1784">
        <w:rPr>
          <w:rFonts w:eastAsia="Times New Roman" w:cs="Times New Roman"/>
          <w:lang w:val="en-GB" w:eastAsia="en-GB"/>
        </w:rPr>
        <w:tab/>
        <w:t xml:space="preserve">2.0 </w:t>
      </w:r>
      <w:proofErr w:type="spellStart"/>
      <w:r w:rsidRPr="00BA1784">
        <w:rPr>
          <w:rFonts w:eastAsia="Times New Roman" w:cs="Times New Roman"/>
          <w:lang w:val="en-GB" w:eastAsia="en-GB"/>
        </w:rPr>
        <w:t>GBq</w:t>
      </w:r>
      <w:proofErr w:type="spellEnd"/>
      <w:r w:rsidR="00BA1784">
        <w:rPr>
          <w:rFonts w:eastAsia="Times New Roman" w:cs="Times New Roman"/>
          <w:lang w:val="en-GB" w:eastAsia="en-GB"/>
        </w:rPr>
        <w:t>.</w:t>
      </w:r>
    </w:p>
    <w:p w14:paraId="616CFDCF" w14:textId="77777777" w:rsidR="00CF796F" w:rsidRPr="00BA1784"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99th centile:</w:t>
      </w:r>
      <w:r w:rsidRPr="00BA1784">
        <w:rPr>
          <w:rFonts w:eastAsia="Times New Roman" w:cs="Times New Roman"/>
          <w:lang w:val="en-GB" w:eastAsia="en-GB"/>
        </w:rPr>
        <w:tab/>
        <w:t xml:space="preserve">3.4 </w:t>
      </w:r>
      <w:proofErr w:type="spellStart"/>
      <w:r w:rsidRPr="00BA1784">
        <w:rPr>
          <w:rFonts w:eastAsia="Times New Roman" w:cs="Times New Roman"/>
          <w:lang w:val="en-GB" w:eastAsia="en-GB"/>
        </w:rPr>
        <w:t>GBq</w:t>
      </w:r>
      <w:proofErr w:type="spellEnd"/>
      <w:r w:rsidR="00BA1784">
        <w:rPr>
          <w:rFonts w:eastAsia="Times New Roman" w:cs="Times New Roman"/>
          <w:lang w:val="en-GB" w:eastAsia="en-GB"/>
        </w:rPr>
        <w:t>.</w:t>
      </w:r>
    </w:p>
    <w:p w14:paraId="2D51D42E" w14:textId="77777777" w:rsidR="00CF796F"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Highest activity to date:</w:t>
      </w:r>
      <w:r w:rsidRPr="00BA1784">
        <w:rPr>
          <w:rFonts w:eastAsia="Times New Roman" w:cs="Times New Roman"/>
          <w:lang w:val="en-GB" w:eastAsia="en-GB"/>
        </w:rPr>
        <w:tab/>
        <w:t xml:space="preserve">29 </w:t>
      </w:r>
      <w:proofErr w:type="spellStart"/>
      <w:r w:rsidRPr="00BA1784">
        <w:rPr>
          <w:rFonts w:eastAsia="Times New Roman" w:cs="Times New Roman"/>
          <w:lang w:val="en-GB" w:eastAsia="en-GB"/>
        </w:rPr>
        <w:t>GBq</w:t>
      </w:r>
      <w:proofErr w:type="spellEnd"/>
      <w:r w:rsidR="00BA1784">
        <w:rPr>
          <w:rFonts w:eastAsia="Times New Roman" w:cs="Times New Roman"/>
          <w:lang w:val="en-GB" w:eastAsia="en-GB"/>
        </w:rPr>
        <w:t>.</w:t>
      </w:r>
    </w:p>
    <w:p w14:paraId="3745A45B" w14:textId="77777777" w:rsidR="00BA1784" w:rsidRPr="00BA1784" w:rsidRDefault="00BA1784" w:rsidP="00BA1784">
      <w:pPr>
        <w:pStyle w:val="ListParagraph"/>
        <w:widowControl/>
        <w:autoSpaceDE/>
        <w:autoSpaceDN/>
        <w:spacing w:before="60" w:after="60"/>
        <w:ind w:left="1418" w:firstLine="0"/>
        <w:contextualSpacing/>
        <w:rPr>
          <w:rFonts w:eastAsia="Times New Roman" w:cs="Times New Roman"/>
          <w:lang w:val="en-GB" w:eastAsia="en-GB"/>
        </w:rPr>
      </w:pPr>
    </w:p>
    <w:p w14:paraId="05BF0104"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 xml:space="preserve">In this case, the distribution has a very long tail at the high activity end, with the highest activity to date being a hundred times the average activity. </w:t>
      </w:r>
      <w:r w:rsidR="00BA1784">
        <w:rPr>
          <w:rFonts w:eastAsia="Times New Roman"/>
          <w:lang w:val="en-GB" w:eastAsia="en-GB"/>
        </w:rPr>
        <w:t xml:space="preserve"> </w:t>
      </w:r>
      <w:r w:rsidRPr="00BA1784">
        <w:rPr>
          <w:rFonts w:eastAsia="Times New Roman"/>
          <w:lang w:val="en-GB" w:eastAsia="en-GB"/>
        </w:rPr>
        <w:t>This is not unknown in radioactive waste inventories.</w:t>
      </w:r>
    </w:p>
    <w:p w14:paraId="0B96B4A6"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In many other cases (‘unknown uncertainty’) the statistical uncertainty associated with a parameter is simply not known, for example when there is just one sample taken of a material (and it’s not reasonably practicable to take more samples).</w:t>
      </w:r>
    </w:p>
    <w:p w14:paraId="2F9CEEA4"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Although the distribution of sample results from a single material should not be as variable as in the above example, the concepts of ‘average’ or ‘90th centile’ just don’t apply in this type of uncertainty.</w:t>
      </w:r>
      <w:r w:rsidR="00BA1784">
        <w:rPr>
          <w:rFonts w:eastAsia="Times New Roman"/>
          <w:lang w:val="en-GB" w:eastAsia="en-GB"/>
        </w:rPr>
        <w:t xml:space="preserve"> </w:t>
      </w:r>
      <w:r w:rsidRPr="00BA1784">
        <w:rPr>
          <w:rFonts w:eastAsia="Times New Roman"/>
          <w:lang w:val="en-GB" w:eastAsia="en-GB"/>
        </w:rPr>
        <w:t xml:space="preserve"> To avoid under-conservatism, it would normally be appropriate to increase the apparent activity concentration somewhat from the analysis values, depending on an understanding of potential variability between samples, if more than one w</w:t>
      </w:r>
      <w:r w:rsidR="00BA1784">
        <w:rPr>
          <w:rFonts w:eastAsia="Times New Roman"/>
          <w:lang w:val="en-GB" w:eastAsia="en-GB"/>
        </w:rPr>
        <w:t>as</w:t>
      </w:r>
      <w:r w:rsidRPr="00BA1784">
        <w:rPr>
          <w:rFonts w:eastAsia="Times New Roman"/>
          <w:lang w:val="en-GB" w:eastAsia="en-GB"/>
        </w:rPr>
        <w:t xml:space="preserve"> to be taken.</w:t>
      </w:r>
    </w:p>
    <w:p w14:paraId="327BD51B" w14:textId="77777777" w:rsidR="00CF796F"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lastRenderedPageBreak/>
        <w:t>More commonly, the uncertainty associated with inventory is somewhere between the two examples above.</w:t>
      </w:r>
    </w:p>
    <w:p w14:paraId="53AB4A3E" w14:textId="3210A1A8"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 xml:space="preserve">Where there is good data on inventory, assuming that there are no </w:t>
      </w:r>
      <w:r w:rsidRPr="00826413">
        <w:rPr>
          <w:rFonts w:eastAsia="Times New Roman"/>
          <w:color w:val="000000" w:themeColor="text1"/>
          <w:lang w:val="en-GB" w:eastAsia="en-GB"/>
        </w:rPr>
        <w:t xml:space="preserve">cliff-edge effects (see the </w:t>
      </w:r>
      <w:r w:rsidR="00BA1784" w:rsidRPr="00826413">
        <w:rPr>
          <w:rFonts w:eastAsia="Times New Roman"/>
          <w:color w:val="000000" w:themeColor="text1"/>
          <w:lang w:val="en-GB" w:eastAsia="en-GB"/>
        </w:rPr>
        <w:t>S</w:t>
      </w:r>
      <w:r w:rsidRPr="00826413">
        <w:rPr>
          <w:rFonts w:eastAsia="Times New Roman"/>
          <w:color w:val="000000" w:themeColor="text1"/>
          <w:lang w:val="en-GB" w:eastAsia="en-GB"/>
        </w:rPr>
        <w:t>ection</w:t>
      </w:r>
      <w:r w:rsidR="00BA1784" w:rsidRPr="00826413">
        <w:rPr>
          <w:rFonts w:eastAsia="Times New Roman"/>
          <w:color w:val="000000" w:themeColor="text1"/>
          <w:lang w:val="en-GB" w:eastAsia="en-GB"/>
        </w:rPr>
        <w:t xml:space="preserve">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_Ref50110093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3</w:t>
      </w:r>
      <w:r w:rsidR="00826413" w:rsidRPr="00826413">
        <w:rPr>
          <w:rFonts w:eastAsia="Times New Roman"/>
          <w:color w:val="000000" w:themeColor="text1"/>
          <w:lang w:val="en-GB" w:eastAsia="en-GB"/>
        </w:rPr>
        <w:fldChar w:fldCharType="end"/>
      </w:r>
      <w:r w:rsidRPr="00826413">
        <w:rPr>
          <w:rFonts w:eastAsia="Times New Roman"/>
          <w:color w:val="000000" w:themeColor="text1"/>
          <w:lang w:val="en-GB" w:eastAsia="en-GB"/>
        </w:rPr>
        <w:t xml:space="preserve"> ‘Introduction to</w:t>
      </w:r>
      <w:r w:rsidR="00BA1784" w:rsidRPr="00826413">
        <w:rPr>
          <w:rFonts w:eastAsia="Times New Roman"/>
          <w:color w:val="000000" w:themeColor="text1"/>
          <w:lang w:val="en-GB" w:eastAsia="en-GB"/>
        </w:rPr>
        <w:t xml:space="preserve"> the</w:t>
      </w:r>
      <w:r w:rsidRPr="00826413">
        <w:rPr>
          <w:rFonts w:eastAsia="Times New Roman"/>
          <w:color w:val="000000" w:themeColor="text1"/>
          <w:lang w:val="en-GB" w:eastAsia="en-GB"/>
        </w:rPr>
        <w:t xml:space="preserve"> </w:t>
      </w:r>
      <w:r w:rsidR="00BA1784" w:rsidRPr="00826413">
        <w:rPr>
          <w:rFonts w:eastAsia="Times New Roman"/>
          <w:color w:val="000000" w:themeColor="text1"/>
          <w:lang w:val="en-GB" w:eastAsia="en-GB"/>
        </w:rPr>
        <w:t>S</w:t>
      </w:r>
      <w:r w:rsidRPr="00826413">
        <w:rPr>
          <w:rFonts w:eastAsia="Times New Roman"/>
          <w:color w:val="000000" w:themeColor="text1"/>
          <w:lang w:val="en-GB" w:eastAsia="en-GB"/>
        </w:rPr>
        <w:t xml:space="preserve">ubject </w:t>
      </w:r>
      <w:r w:rsidR="00BA1784" w:rsidRPr="00826413">
        <w:rPr>
          <w:rFonts w:eastAsia="Times New Roman"/>
          <w:color w:val="000000" w:themeColor="text1"/>
          <w:lang w:val="en-GB" w:eastAsia="en-GB"/>
        </w:rPr>
        <w:t>M</w:t>
      </w:r>
      <w:r w:rsidRPr="00826413">
        <w:rPr>
          <w:rFonts w:eastAsia="Times New Roman"/>
          <w:color w:val="000000" w:themeColor="text1"/>
          <w:lang w:val="en-GB" w:eastAsia="en-GB"/>
        </w:rPr>
        <w:t>atter’), the hard question still remains as to whether to use the mean, or maximum of results so far, or something else</w:t>
      </w:r>
      <w:r w:rsidRPr="00BA1784">
        <w:rPr>
          <w:rFonts w:eastAsia="Times New Roman"/>
          <w:lang w:val="en-GB" w:eastAsia="en-GB"/>
        </w:rPr>
        <w:t>:</w:t>
      </w:r>
    </w:p>
    <w:p w14:paraId="6D4C19C4" w14:textId="77777777" w:rsidR="00CF796F" w:rsidRPr="00BA1784"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There is an argument for using the mean, if it is known that other elements of the relevant calculations contain enough conservatism to give overall conservative results.</w:t>
      </w:r>
      <w:r w:rsidR="00BA1784">
        <w:rPr>
          <w:rFonts w:eastAsia="Times New Roman" w:cs="Times New Roman"/>
          <w:lang w:val="en-GB" w:eastAsia="en-GB"/>
        </w:rPr>
        <w:t xml:space="preserve"> </w:t>
      </w:r>
      <w:r w:rsidRPr="00BA1784">
        <w:rPr>
          <w:rFonts w:eastAsia="Times New Roman" w:cs="Times New Roman"/>
          <w:lang w:val="en-GB" w:eastAsia="en-GB"/>
        </w:rPr>
        <w:t xml:space="preserve"> There is the possibility that the average may move over time, potentially to a higher value, leaving the inventory element of the calculations potentially optimistic. </w:t>
      </w:r>
      <w:r w:rsidR="00BA1784">
        <w:rPr>
          <w:rFonts w:eastAsia="Times New Roman" w:cs="Times New Roman"/>
          <w:lang w:val="en-GB" w:eastAsia="en-GB"/>
        </w:rPr>
        <w:t xml:space="preserve"> </w:t>
      </w:r>
      <w:r w:rsidRPr="00BA1784">
        <w:rPr>
          <w:rFonts w:eastAsia="Times New Roman" w:cs="Times New Roman"/>
          <w:lang w:val="en-GB" w:eastAsia="en-GB"/>
        </w:rPr>
        <w:t>Having any element of optimism in the calculation can be difficult to defend, but is defensible as long as overall conservatism is maintained.</w:t>
      </w:r>
    </w:p>
    <w:p w14:paraId="1B856DF7" w14:textId="77777777" w:rsidR="00CF796F" w:rsidRPr="00BA1784"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 xml:space="preserve">‘The maximum of results so far’ is more conservative, but if a higher result becomes available (e.g. due to a separate sampling campaign) there may be a demand to amend calculations. </w:t>
      </w:r>
      <w:r w:rsidR="00BA1784">
        <w:rPr>
          <w:rFonts w:eastAsia="Times New Roman" w:cs="Times New Roman"/>
          <w:lang w:val="en-GB" w:eastAsia="en-GB"/>
        </w:rPr>
        <w:t xml:space="preserve"> </w:t>
      </w:r>
      <w:r w:rsidRPr="00BA1784">
        <w:rPr>
          <w:rFonts w:eastAsia="Times New Roman" w:cs="Times New Roman"/>
          <w:lang w:val="en-GB" w:eastAsia="en-GB"/>
        </w:rPr>
        <w:t>In this sense, this is not a robust value to choose if it is being argued that the maximum value is key.</w:t>
      </w:r>
    </w:p>
    <w:p w14:paraId="68D856A6" w14:textId="77777777" w:rsidR="00CF796F" w:rsidRDefault="0087786B" w:rsidP="00BA1784">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BA1784">
        <w:rPr>
          <w:rFonts w:eastAsia="Times New Roman" w:cs="Times New Roman"/>
          <w:lang w:val="en-GB" w:eastAsia="en-GB"/>
        </w:rPr>
        <w:t>It is possible to argue for the 90th centile value or the 99th centile value - both have been used historically in different companies.</w:t>
      </w:r>
      <w:r w:rsidR="00BA1784">
        <w:rPr>
          <w:rFonts w:eastAsia="Times New Roman" w:cs="Times New Roman"/>
          <w:lang w:val="en-GB" w:eastAsia="en-GB"/>
        </w:rPr>
        <w:t xml:space="preserve"> </w:t>
      </w:r>
      <w:r w:rsidRPr="00BA1784">
        <w:rPr>
          <w:rFonts w:eastAsia="Times New Roman" w:cs="Times New Roman"/>
          <w:lang w:val="en-GB" w:eastAsia="en-GB"/>
        </w:rPr>
        <w:t xml:space="preserve"> Comparing the inventory with the average value (e.g. ‘the 90th centile value of 2.0 </w:t>
      </w:r>
      <w:proofErr w:type="spellStart"/>
      <w:r w:rsidRPr="00BA1784">
        <w:rPr>
          <w:rFonts w:eastAsia="Times New Roman" w:cs="Times New Roman"/>
          <w:lang w:val="en-GB" w:eastAsia="en-GB"/>
        </w:rPr>
        <w:t>GBq</w:t>
      </w:r>
      <w:proofErr w:type="spellEnd"/>
      <w:r w:rsidRPr="00BA1784">
        <w:rPr>
          <w:rFonts w:eastAsia="Times New Roman" w:cs="Times New Roman"/>
          <w:lang w:val="en-GB" w:eastAsia="en-GB"/>
        </w:rPr>
        <w:t xml:space="preserve"> is more than six times the average value of 0.3 </w:t>
      </w:r>
      <w:proofErr w:type="spellStart"/>
      <w:r w:rsidRPr="00BA1784">
        <w:rPr>
          <w:rFonts w:eastAsia="Times New Roman" w:cs="Times New Roman"/>
          <w:lang w:val="en-GB" w:eastAsia="en-GB"/>
        </w:rPr>
        <w:t>GBq</w:t>
      </w:r>
      <w:proofErr w:type="spellEnd"/>
      <w:r w:rsidRPr="00BA1784">
        <w:rPr>
          <w:rFonts w:eastAsia="Times New Roman" w:cs="Times New Roman"/>
          <w:lang w:val="en-GB" w:eastAsia="en-GB"/>
        </w:rPr>
        <w:t xml:space="preserve">’) can be persuasive in achieving acceptance that it is reasonably conservative to use the 90th centile value, while acknowledging that higher values are expected one in ten times. </w:t>
      </w:r>
      <w:r w:rsidR="00BA1784">
        <w:rPr>
          <w:rFonts w:eastAsia="Times New Roman" w:cs="Times New Roman"/>
          <w:lang w:val="en-GB" w:eastAsia="en-GB"/>
        </w:rPr>
        <w:t xml:space="preserve"> </w:t>
      </w:r>
      <w:r w:rsidRPr="00BA1784">
        <w:rPr>
          <w:rFonts w:eastAsia="Times New Roman" w:cs="Times New Roman"/>
          <w:lang w:val="en-GB" w:eastAsia="en-GB"/>
        </w:rPr>
        <w:t>One advantage is that even if the distribution shifts significantly over time to a higher range, the 90th centile value chosen is unlikely to be lower than the new mean, robustly maintaining a degree of conservatism in the inventory element of the calculations.</w:t>
      </w:r>
    </w:p>
    <w:p w14:paraId="4E8107CE" w14:textId="77777777" w:rsidR="00BA1784" w:rsidRPr="00BA1784" w:rsidRDefault="00BA1784" w:rsidP="00BA1784">
      <w:pPr>
        <w:pStyle w:val="ListParagraph"/>
        <w:widowControl/>
        <w:autoSpaceDE/>
        <w:autoSpaceDN/>
        <w:spacing w:before="60" w:after="60"/>
        <w:ind w:left="1418" w:firstLine="0"/>
        <w:contextualSpacing/>
        <w:rPr>
          <w:rFonts w:eastAsia="Times New Roman" w:cs="Times New Roman"/>
          <w:lang w:val="en-GB" w:eastAsia="en-GB"/>
        </w:rPr>
      </w:pPr>
    </w:p>
    <w:p w14:paraId="47153A16"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 xml:space="preserve">The context is very important here. </w:t>
      </w:r>
      <w:r w:rsidR="00BA1784">
        <w:rPr>
          <w:rFonts w:eastAsia="Times New Roman"/>
          <w:lang w:val="en-GB" w:eastAsia="en-GB"/>
        </w:rPr>
        <w:t xml:space="preserve"> </w:t>
      </w:r>
      <w:r w:rsidRPr="00BA1784">
        <w:rPr>
          <w:rFonts w:eastAsia="Times New Roman"/>
          <w:lang w:val="en-GB" w:eastAsia="en-GB"/>
        </w:rPr>
        <w:t xml:space="preserve">If an average normal dose is required, the mean may well be best. </w:t>
      </w:r>
      <w:r w:rsidR="00BA1784">
        <w:rPr>
          <w:rFonts w:eastAsia="Times New Roman"/>
          <w:lang w:val="en-GB" w:eastAsia="en-GB"/>
        </w:rPr>
        <w:t xml:space="preserve"> </w:t>
      </w:r>
      <w:r w:rsidRPr="00BA1784">
        <w:rPr>
          <w:rFonts w:eastAsia="Times New Roman"/>
          <w:lang w:val="en-GB" w:eastAsia="en-GB"/>
        </w:rPr>
        <w:t>In safety assessment of potential accidents, it is more difficult to justify use of the mean.</w:t>
      </w:r>
    </w:p>
    <w:p w14:paraId="14622614"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 xml:space="preserve">One criticism that can be levelled at using any value lower than ‘the maximum of results so far’ is that it is possible that the value used gives a dose (e.g. 19mSv to a worker) below a DBA threshold while use of the maximum of results so far would give a dose (e.g. 160mSv, using the example of waste consignments above) above a DBA threshold. </w:t>
      </w:r>
      <w:r w:rsidR="00BA1784">
        <w:rPr>
          <w:rFonts w:eastAsia="Times New Roman"/>
          <w:lang w:val="en-GB" w:eastAsia="en-GB"/>
        </w:rPr>
        <w:t xml:space="preserve"> </w:t>
      </w:r>
      <w:r w:rsidRPr="00BA1784">
        <w:rPr>
          <w:rFonts w:eastAsia="Times New Roman"/>
          <w:lang w:val="en-GB" w:eastAsia="en-GB"/>
        </w:rPr>
        <w:t>This could result in a failure to apply DBA appropriately (or at all).</w:t>
      </w:r>
    </w:p>
    <w:p w14:paraId="145B76B4" w14:textId="77777777" w:rsid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 xml:space="preserve">One way to resolve this is to define a small subset (e.g. the top 1%) of the inventory that is treated as a different bounding case. </w:t>
      </w:r>
      <w:r w:rsidR="00BA1784">
        <w:rPr>
          <w:rFonts w:eastAsia="Times New Roman"/>
          <w:lang w:val="en-GB" w:eastAsia="en-GB"/>
        </w:rPr>
        <w:t xml:space="preserve"> </w:t>
      </w:r>
      <w:r w:rsidRPr="00BA1784">
        <w:rPr>
          <w:rFonts w:eastAsia="Times New Roman"/>
          <w:lang w:val="en-GB" w:eastAsia="en-GB"/>
        </w:rPr>
        <w:t xml:space="preserve">Where it is known which containers have the top 1% of inventory, it may be possible to treat them differently, e.g. with an additional safety measure that wouldn’t be practicable to apply to all containers. </w:t>
      </w:r>
      <w:r w:rsidR="00BA1784">
        <w:rPr>
          <w:rFonts w:eastAsia="Times New Roman"/>
          <w:lang w:val="en-GB" w:eastAsia="en-GB"/>
        </w:rPr>
        <w:t xml:space="preserve"> </w:t>
      </w:r>
      <w:r w:rsidRPr="00BA1784">
        <w:rPr>
          <w:rFonts w:eastAsia="Times New Roman"/>
          <w:lang w:val="en-GB" w:eastAsia="en-GB"/>
        </w:rPr>
        <w:t xml:space="preserve">Even if this isn’t possible, or if the inventory isn’t known at the relevant process stage, the initiating event frequency can take account of the conditional probability (in this case 1%) that the container is a high inventory container. </w:t>
      </w:r>
      <w:r w:rsidR="00BA1784">
        <w:rPr>
          <w:rFonts w:eastAsia="Times New Roman"/>
          <w:lang w:val="en-GB" w:eastAsia="en-GB"/>
        </w:rPr>
        <w:t xml:space="preserve"> </w:t>
      </w:r>
      <w:r w:rsidRPr="00BA1784">
        <w:rPr>
          <w:rFonts w:eastAsia="Times New Roman"/>
          <w:lang w:val="en-GB" w:eastAsia="en-GB"/>
        </w:rPr>
        <w:t>This fault sequence is quite likely to ‘land’ outside the DBA region, due to the lower initiating event frequency.</w:t>
      </w:r>
      <w:r w:rsidR="00BA1784">
        <w:rPr>
          <w:rFonts w:eastAsia="Times New Roman"/>
          <w:lang w:val="en-GB" w:eastAsia="en-GB"/>
        </w:rPr>
        <w:t xml:space="preserve"> </w:t>
      </w:r>
      <w:r w:rsidRPr="00BA1784">
        <w:rPr>
          <w:rFonts w:eastAsia="Times New Roman"/>
          <w:lang w:val="en-GB" w:eastAsia="en-GB"/>
        </w:rPr>
        <w:t xml:space="preserve"> This approach is also suitable for PSA, where the risk from the top 1% is likely to be smaller than the risk from the bottom 99%.</w:t>
      </w:r>
    </w:p>
    <w:p w14:paraId="13E59C07" w14:textId="5E7C533A" w:rsidR="00CF796F" w:rsidRPr="00826413" w:rsidRDefault="0087786B" w:rsidP="00BA1784">
      <w:pPr>
        <w:pStyle w:val="ListParagraph"/>
        <w:widowControl/>
        <w:autoSpaceDE/>
        <w:autoSpaceDN/>
        <w:spacing w:before="120" w:after="120"/>
        <w:ind w:left="851" w:firstLine="0"/>
        <w:rPr>
          <w:rFonts w:eastAsia="Times New Roman"/>
          <w:color w:val="000000" w:themeColor="text1"/>
          <w:lang w:val="en-GB" w:eastAsia="en-GB"/>
        </w:rPr>
      </w:pPr>
      <w:r w:rsidRPr="00826413">
        <w:rPr>
          <w:rFonts w:eastAsia="Times New Roman"/>
          <w:color w:val="000000" w:themeColor="text1"/>
          <w:lang w:val="en-GB" w:eastAsia="en-GB"/>
        </w:rPr>
        <w:t>Note also</w:t>
      </w:r>
      <w:r w:rsidR="00BA1784" w:rsidRPr="00826413">
        <w:rPr>
          <w:rFonts w:eastAsia="Times New Roman"/>
          <w:color w:val="000000" w:themeColor="text1"/>
          <w:lang w:val="en-GB" w:eastAsia="en-GB"/>
        </w:rPr>
        <w:t>,</w:t>
      </w:r>
      <w:r w:rsidRPr="00826413">
        <w:rPr>
          <w:rFonts w:eastAsia="Times New Roman"/>
          <w:color w:val="000000" w:themeColor="text1"/>
          <w:lang w:val="en-GB" w:eastAsia="en-GB"/>
        </w:rPr>
        <w:t xml:space="preserve"> the possibility of cliff-edge effects (see the </w:t>
      </w:r>
      <w:r w:rsidR="00BA1784" w:rsidRPr="00826413">
        <w:rPr>
          <w:rFonts w:eastAsia="Times New Roman"/>
          <w:color w:val="000000" w:themeColor="text1"/>
          <w:lang w:val="en-GB" w:eastAsia="en-GB"/>
        </w:rPr>
        <w:t>S</w:t>
      </w:r>
      <w:r w:rsidRPr="00826413">
        <w:rPr>
          <w:rFonts w:eastAsia="Times New Roman"/>
          <w:color w:val="000000" w:themeColor="text1"/>
          <w:lang w:val="en-GB" w:eastAsia="en-GB"/>
        </w:rPr>
        <w:t xml:space="preserve">ection </w:t>
      </w:r>
      <w:r w:rsidR="00826413" w:rsidRPr="00826413">
        <w:rPr>
          <w:rFonts w:eastAsia="Times New Roman"/>
          <w:color w:val="000000" w:themeColor="text1"/>
          <w:lang w:val="en-GB" w:eastAsia="en-GB"/>
        </w:rPr>
        <w:fldChar w:fldCharType="begin"/>
      </w:r>
      <w:r w:rsidR="00826413" w:rsidRPr="00826413">
        <w:rPr>
          <w:rFonts w:eastAsia="Times New Roman"/>
          <w:color w:val="000000" w:themeColor="text1"/>
          <w:lang w:val="en-GB" w:eastAsia="en-GB"/>
        </w:rPr>
        <w:instrText xml:space="preserve"> REF _Ref50110115 \r \h </w:instrText>
      </w:r>
      <w:r w:rsidR="00826413" w:rsidRPr="00826413">
        <w:rPr>
          <w:rFonts w:eastAsia="Times New Roman"/>
          <w:color w:val="000000" w:themeColor="text1"/>
          <w:lang w:val="en-GB" w:eastAsia="en-GB"/>
        </w:rPr>
      </w:r>
      <w:r w:rsidR="00826413" w:rsidRPr="00826413">
        <w:rPr>
          <w:rFonts w:eastAsia="Times New Roman"/>
          <w:color w:val="000000" w:themeColor="text1"/>
          <w:lang w:val="en-GB" w:eastAsia="en-GB"/>
        </w:rPr>
        <w:fldChar w:fldCharType="separate"/>
      </w:r>
      <w:r w:rsidR="00826413" w:rsidRPr="00826413">
        <w:rPr>
          <w:rFonts w:eastAsia="Times New Roman"/>
          <w:color w:val="000000" w:themeColor="text1"/>
          <w:lang w:val="en-GB" w:eastAsia="en-GB"/>
        </w:rPr>
        <w:t>3</w:t>
      </w:r>
      <w:r w:rsidR="00826413" w:rsidRPr="00826413">
        <w:rPr>
          <w:rFonts w:eastAsia="Times New Roman"/>
          <w:color w:val="000000" w:themeColor="text1"/>
          <w:lang w:val="en-GB" w:eastAsia="en-GB"/>
        </w:rPr>
        <w:fldChar w:fldCharType="end"/>
      </w:r>
      <w:r w:rsidR="00BA1784" w:rsidRPr="00826413">
        <w:rPr>
          <w:rFonts w:eastAsia="Times New Roman"/>
          <w:color w:val="000000" w:themeColor="text1"/>
          <w:lang w:val="en-GB" w:eastAsia="en-GB"/>
        </w:rPr>
        <w:t xml:space="preserve"> </w:t>
      </w:r>
      <w:r w:rsidRPr="00826413">
        <w:rPr>
          <w:rFonts w:eastAsia="Times New Roman"/>
          <w:color w:val="000000" w:themeColor="text1"/>
          <w:lang w:val="en-GB" w:eastAsia="en-GB"/>
        </w:rPr>
        <w:t xml:space="preserve">‘Introduction to </w:t>
      </w:r>
      <w:r w:rsidR="00BA1784" w:rsidRPr="00826413">
        <w:rPr>
          <w:rFonts w:eastAsia="Times New Roman"/>
          <w:color w:val="000000" w:themeColor="text1"/>
          <w:lang w:val="en-GB" w:eastAsia="en-GB"/>
        </w:rPr>
        <w:t>the S</w:t>
      </w:r>
      <w:r w:rsidRPr="00826413">
        <w:rPr>
          <w:rFonts w:eastAsia="Times New Roman"/>
          <w:color w:val="000000" w:themeColor="text1"/>
          <w:lang w:val="en-GB" w:eastAsia="en-GB"/>
        </w:rPr>
        <w:t xml:space="preserve">ubject </w:t>
      </w:r>
      <w:r w:rsidR="00BA1784" w:rsidRPr="00826413">
        <w:rPr>
          <w:rFonts w:eastAsia="Times New Roman"/>
          <w:color w:val="000000" w:themeColor="text1"/>
          <w:lang w:val="en-GB" w:eastAsia="en-GB"/>
        </w:rPr>
        <w:t>M</w:t>
      </w:r>
      <w:r w:rsidRPr="00826413">
        <w:rPr>
          <w:rFonts w:eastAsia="Times New Roman"/>
          <w:color w:val="000000" w:themeColor="text1"/>
          <w:lang w:val="en-GB" w:eastAsia="en-GB"/>
        </w:rPr>
        <w:t>atter’).</w:t>
      </w:r>
    </w:p>
    <w:p w14:paraId="6A9F7AB4" w14:textId="77777777" w:rsidR="00CF796F" w:rsidRDefault="0087786B" w:rsidP="00BA1784">
      <w:pPr>
        <w:pStyle w:val="ListParagraph"/>
        <w:widowControl/>
        <w:autoSpaceDE/>
        <w:autoSpaceDN/>
        <w:spacing w:before="120" w:after="120"/>
        <w:ind w:left="851" w:firstLine="0"/>
        <w:rPr>
          <w:rFonts w:eastAsia="Times New Roman"/>
          <w:b/>
          <w:bCs/>
          <w:lang w:val="en-GB" w:eastAsia="en-GB"/>
        </w:rPr>
      </w:pPr>
      <w:r w:rsidRPr="00826413">
        <w:rPr>
          <w:rFonts w:eastAsia="Times New Roman"/>
          <w:color w:val="000000" w:themeColor="text1"/>
          <w:lang w:val="en-GB" w:eastAsia="en-GB"/>
        </w:rPr>
        <w:t xml:space="preserve">Reference 2 states </w:t>
      </w:r>
      <w:r w:rsidRPr="00BA1784">
        <w:rPr>
          <w:rFonts w:eastAsia="Times New Roman"/>
          <w:lang w:val="en-GB" w:eastAsia="en-GB"/>
        </w:rPr>
        <w:t>that if uncertainties cannot be fully assessed, using mean values for nearly all input parameters, in combination with ‘bounding’ values for one or two variables ensures an output magnitude that is comparable to the actual 95th percentile.</w:t>
      </w:r>
      <w:r w:rsidR="00BA1784">
        <w:rPr>
          <w:rFonts w:eastAsia="Times New Roman"/>
          <w:lang w:val="en-GB" w:eastAsia="en-GB"/>
        </w:rPr>
        <w:t xml:space="preserve"> </w:t>
      </w:r>
      <w:r w:rsidRPr="00BA1784">
        <w:rPr>
          <w:rFonts w:eastAsia="Times New Roman"/>
          <w:lang w:val="en-GB" w:eastAsia="en-GB"/>
        </w:rPr>
        <w:t xml:space="preserve"> Reference 2 states that this approach offers the best alternative for incorporation of parameter uncertainties while providing reasonably conservative results. </w:t>
      </w:r>
      <w:r w:rsidR="00BA1784">
        <w:rPr>
          <w:rFonts w:eastAsia="Times New Roman"/>
          <w:lang w:val="en-GB" w:eastAsia="en-GB"/>
        </w:rPr>
        <w:t xml:space="preserve"> </w:t>
      </w:r>
      <w:r w:rsidRPr="00BA1784">
        <w:rPr>
          <w:rFonts w:eastAsia="Times New Roman"/>
          <w:lang w:val="en-GB" w:eastAsia="en-GB"/>
        </w:rPr>
        <w:t xml:space="preserve">However, in some cases (e.g. some external dose scenarios) there are only a few parameters that need to be combined, so the Reference 2 view is modified in this Guide, which recommends that </w:t>
      </w:r>
      <w:r w:rsidRPr="00BA1784">
        <w:rPr>
          <w:rFonts w:eastAsia="Times New Roman"/>
          <w:b/>
          <w:bCs/>
          <w:lang w:val="en-GB" w:eastAsia="en-GB"/>
        </w:rPr>
        <w:t xml:space="preserve">appropriate conservatism in consequences can be achieved by using conservative </w:t>
      </w:r>
      <w:r w:rsidRPr="00BA1784">
        <w:rPr>
          <w:rFonts w:eastAsia="Times New Roman"/>
          <w:b/>
          <w:bCs/>
          <w:lang w:val="en-GB" w:eastAsia="en-GB"/>
        </w:rPr>
        <w:lastRenderedPageBreak/>
        <w:t>values (e.g. equivalent to approximately 95th percentile) typically for two parameters, with mean values being used for all other parameters.</w:t>
      </w:r>
    </w:p>
    <w:p w14:paraId="03333425" w14:textId="77777777" w:rsidR="00CF796F" w:rsidRPr="00BA1784" w:rsidRDefault="0087786B" w:rsidP="00BA1784">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The key point is that there is overall conservatism in the calculations, not that every element in the calculations (including inventory) has to be conservative by a certain degree or at a certain centile.</w:t>
      </w:r>
    </w:p>
    <w:p w14:paraId="5E64205E"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BA1784">
        <w:rPr>
          <w:rFonts w:eastAsia="Times New Roman"/>
          <w:lang w:val="en-GB" w:eastAsia="en-GB"/>
        </w:rPr>
        <w:t>Inventory information can at times be confusing and apparently contradictory, in which case the above mathematical points cannot be applied.</w:t>
      </w:r>
      <w:r w:rsidR="00BA1784">
        <w:rPr>
          <w:rFonts w:eastAsia="Times New Roman"/>
          <w:lang w:val="en-GB" w:eastAsia="en-GB"/>
        </w:rPr>
        <w:t xml:space="preserve"> </w:t>
      </w:r>
      <w:r w:rsidRPr="00BA1784">
        <w:rPr>
          <w:rFonts w:eastAsia="Times New Roman"/>
          <w:lang w:val="en-GB" w:eastAsia="en-GB"/>
        </w:rPr>
        <w:t xml:space="preserve"> For example, in a store of legacy waste drums with very little provenance information, it may be thought that the drums contain uranium, and this is supported by sample analysis of a leak from one drum showing that it contains uranium, with no traces of plutonium. </w:t>
      </w:r>
      <w:r w:rsidR="00BA1784">
        <w:rPr>
          <w:rFonts w:eastAsia="Times New Roman"/>
          <w:lang w:val="en-GB" w:eastAsia="en-GB"/>
        </w:rPr>
        <w:t xml:space="preserve"> </w:t>
      </w:r>
      <w:r w:rsidRPr="00BA1784">
        <w:rPr>
          <w:rFonts w:eastAsia="Times New Roman"/>
          <w:lang w:val="en-GB" w:eastAsia="en-GB"/>
        </w:rPr>
        <w:t xml:space="preserve">The drums, which may have come from one or more other sites, cannot easily be sampled as that would involve movement across site to another building, with transport and other risks. </w:t>
      </w:r>
      <w:r w:rsidR="00BA1784">
        <w:rPr>
          <w:rFonts w:eastAsia="Times New Roman"/>
          <w:lang w:val="en-GB" w:eastAsia="en-GB"/>
        </w:rPr>
        <w:t xml:space="preserve"> </w:t>
      </w:r>
      <w:r w:rsidRPr="00BA1784">
        <w:rPr>
          <w:rFonts w:eastAsia="Times New Roman"/>
          <w:lang w:val="en-GB" w:eastAsia="en-GB"/>
        </w:rPr>
        <w:t xml:space="preserve">However, all the drums have been assayed in a drum assay monitor that shows significant positive plutonium values, including for the drum that subsequently leaked. </w:t>
      </w:r>
      <w:r w:rsidR="00BA1784">
        <w:rPr>
          <w:rFonts w:eastAsia="Times New Roman"/>
          <w:lang w:val="en-GB" w:eastAsia="en-GB"/>
        </w:rPr>
        <w:t xml:space="preserve"> </w:t>
      </w:r>
      <w:r w:rsidRPr="00BA1784">
        <w:rPr>
          <w:rFonts w:eastAsia="Times New Roman"/>
          <w:lang w:val="en-GB" w:eastAsia="en-GB"/>
        </w:rPr>
        <w:t xml:space="preserve">Each gram of plutonium is roughly equivalent to one million g of uranium in internal dose terms, mainly due to the much higher specific activity of plutonium. </w:t>
      </w:r>
      <w:r w:rsidR="00BA1784">
        <w:rPr>
          <w:rFonts w:eastAsia="Times New Roman"/>
          <w:lang w:val="en-GB" w:eastAsia="en-GB"/>
        </w:rPr>
        <w:t xml:space="preserve"> </w:t>
      </w:r>
      <w:r w:rsidRPr="00BA1784">
        <w:rPr>
          <w:rFonts w:eastAsia="Times New Roman"/>
          <w:lang w:val="en-GB" w:eastAsia="en-GB"/>
        </w:rPr>
        <w:t xml:space="preserve">It is known that the positive plutonium values may arise from difficulties that the assay monitor has in screening out U238, which is likely to be prevalent in the waste. </w:t>
      </w:r>
      <w:r w:rsidR="00BA1784">
        <w:rPr>
          <w:rFonts w:eastAsia="Times New Roman"/>
          <w:lang w:val="en-GB" w:eastAsia="en-GB"/>
        </w:rPr>
        <w:t xml:space="preserve"> </w:t>
      </w:r>
      <w:r w:rsidRPr="00BA1784">
        <w:rPr>
          <w:rFonts w:eastAsia="Times New Roman"/>
          <w:lang w:val="en-GB" w:eastAsia="en-GB"/>
        </w:rPr>
        <w:t>For the drum that has leaked, it may well be reasonable to justify an assumption of uranium in the safety assessment, but for the rest of the drums, the conservative approach of assuming that the positive plutonium values are realistic is likely to be the only justifiable approach, even if this makes the safety case more difficult and complex.</w:t>
      </w:r>
      <w:r w:rsidR="00A0429B">
        <w:rPr>
          <w:rFonts w:eastAsia="Times New Roman"/>
          <w:lang w:val="en-GB" w:eastAsia="en-GB"/>
        </w:rPr>
        <w:t xml:space="preserve"> </w:t>
      </w:r>
      <w:r w:rsidRPr="00BA1784">
        <w:rPr>
          <w:rFonts w:eastAsia="Times New Roman"/>
          <w:lang w:val="en-GB" w:eastAsia="en-GB"/>
        </w:rPr>
        <w:t xml:space="preserve"> This conservatism should be identified in the text.</w:t>
      </w:r>
    </w:p>
    <w:p w14:paraId="423AA771" w14:textId="77777777" w:rsidR="00CF796F" w:rsidRDefault="00A0429B" w:rsidP="00A0429B">
      <w:pPr>
        <w:pStyle w:val="Heading2"/>
      </w:pPr>
      <w:bookmarkStart w:id="32" w:name="_Toc50110454"/>
      <w:r>
        <w:t>6.4</w:t>
      </w:r>
      <w:r>
        <w:tab/>
      </w:r>
      <w:r w:rsidR="0087786B">
        <w:t>Achieving a Balance in Engineering Substantiation</w:t>
      </w:r>
      <w:bookmarkEnd w:id="32"/>
    </w:p>
    <w:p w14:paraId="5F367D1B"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Before engineering substantiation became a fundamental part of safety cases, it was generally assumed that a Structure, System or Component (SSC) would be capable of meeting its safety function. </w:t>
      </w:r>
      <w:r w:rsidR="00A0429B">
        <w:rPr>
          <w:rFonts w:eastAsia="Times New Roman"/>
          <w:lang w:val="en-GB" w:eastAsia="en-GB"/>
        </w:rPr>
        <w:t xml:space="preserve"> </w:t>
      </w:r>
      <w:r w:rsidRPr="00A0429B">
        <w:rPr>
          <w:rFonts w:eastAsia="Times New Roman"/>
          <w:lang w:val="en-GB" w:eastAsia="en-GB"/>
        </w:rPr>
        <w:t xml:space="preserve">This was an under-conservatism (failing to address uncertainties) that has now been resolved and now the main risk appears to be </w:t>
      </w:r>
      <w:r w:rsidR="00A0429B">
        <w:rPr>
          <w:rFonts w:eastAsia="Times New Roman"/>
          <w:lang w:val="en-GB" w:eastAsia="en-GB"/>
        </w:rPr>
        <w:br/>
      </w:r>
      <w:r w:rsidRPr="00A0429B">
        <w:rPr>
          <w:rFonts w:eastAsia="Times New Roman"/>
          <w:lang w:val="en-GB" w:eastAsia="en-GB"/>
        </w:rPr>
        <w:t xml:space="preserve">over-conservatism. </w:t>
      </w:r>
      <w:r w:rsidR="00A0429B">
        <w:rPr>
          <w:rFonts w:eastAsia="Times New Roman"/>
          <w:lang w:val="en-GB" w:eastAsia="en-GB"/>
        </w:rPr>
        <w:t xml:space="preserve"> </w:t>
      </w:r>
      <w:r w:rsidRPr="00A0429B">
        <w:rPr>
          <w:rFonts w:eastAsia="Times New Roman"/>
          <w:lang w:val="en-GB" w:eastAsia="en-GB"/>
        </w:rPr>
        <w:t>However, it is still a risk that not all relevant SSCs are identified, which would be an under-conservatism, e.g. not identifying SSCs having normal safety functions.</w:t>
      </w:r>
    </w:p>
    <w:p w14:paraId="486A5398"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One way of obtaining assurance that a safety function is provided with sufficient confidence is to compare the SSC with relevant modern standards.</w:t>
      </w:r>
      <w:r w:rsidR="00A0429B">
        <w:rPr>
          <w:rFonts w:eastAsia="Times New Roman"/>
          <w:lang w:val="en-GB" w:eastAsia="en-GB"/>
        </w:rPr>
        <w:t xml:space="preserve"> </w:t>
      </w:r>
      <w:r w:rsidRPr="00A0429B">
        <w:rPr>
          <w:rFonts w:eastAsia="Times New Roman"/>
          <w:lang w:val="en-GB" w:eastAsia="en-GB"/>
        </w:rPr>
        <w:t xml:space="preserve"> If these standards are achieved, the safety function is usually substantiated. </w:t>
      </w:r>
      <w:r w:rsidR="00A0429B">
        <w:rPr>
          <w:rFonts w:eastAsia="Times New Roman"/>
          <w:lang w:val="en-GB" w:eastAsia="en-GB"/>
        </w:rPr>
        <w:t xml:space="preserve"> </w:t>
      </w:r>
      <w:r w:rsidRPr="00A0429B">
        <w:rPr>
          <w:rFonts w:eastAsia="Times New Roman"/>
          <w:lang w:val="en-GB" w:eastAsia="en-GB"/>
        </w:rPr>
        <w:t>If they are not achieved, it may be easier to declare that the safety function is not substantiated, which is an incorrect conservative approach.</w:t>
      </w:r>
      <w:r w:rsidR="00A0429B">
        <w:rPr>
          <w:rFonts w:eastAsia="Times New Roman"/>
          <w:lang w:val="en-GB" w:eastAsia="en-GB"/>
        </w:rPr>
        <w:t xml:space="preserve"> </w:t>
      </w:r>
      <w:r w:rsidRPr="00A0429B">
        <w:rPr>
          <w:rFonts w:eastAsia="Times New Roman"/>
          <w:lang w:val="en-GB" w:eastAsia="en-GB"/>
        </w:rPr>
        <w:t xml:space="preserve"> But knowing that a wall does not meet modern standards does not mean that it is incapable of providing the structural stability or the shielding function that is required by the safety case.</w:t>
      </w:r>
      <w:r w:rsidR="00A0429B">
        <w:rPr>
          <w:rFonts w:eastAsia="Times New Roman"/>
          <w:lang w:val="en-GB" w:eastAsia="en-GB"/>
        </w:rPr>
        <w:t xml:space="preserve"> </w:t>
      </w:r>
      <w:r w:rsidRPr="00A0429B">
        <w:rPr>
          <w:rFonts w:eastAsia="Times New Roman"/>
          <w:lang w:val="en-GB" w:eastAsia="en-GB"/>
        </w:rPr>
        <w:t xml:space="preserve"> It is as easy to be overly conservative in engineering substantiation as it is in safety assessment.</w:t>
      </w:r>
    </w:p>
    <w:p w14:paraId="3215BF71"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In one case, the safety function of structural stability of a roof was not substantiated in the event of over-depression in the old building (which was served by a ventilation system drawing air from several buildings). </w:t>
      </w:r>
      <w:r w:rsidR="00A0429B">
        <w:rPr>
          <w:rFonts w:eastAsia="Times New Roman"/>
          <w:lang w:val="en-GB" w:eastAsia="en-GB"/>
        </w:rPr>
        <w:t xml:space="preserve"> </w:t>
      </w:r>
      <w:r w:rsidRPr="00A0429B">
        <w:rPr>
          <w:rFonts w:eastAsia="Times New Roman"/>
          <w:lang w:val="en-GB" w:eastAsia="en-GB"/>
        </w:rPr>
        <w:t>Yet, no restriction was placed on the number of people who could work on the roof (which was an operating roof) indicating no real concern with structural stability.</w:t>
      </w:r>
      <w:r w:rsidR="00A0429B">
        <w:rPr>
          <w:rFonts w:eastAsia="Times New Roman"/>
          <w:lang w:val="en-GB" w:eastAsia="en-GB"/>
        </w:rPr>
        <w:t xml:space="preserve"> </w:t>
      </w:r>
      <w:r w:rsidRPr="00A0429B">
        <w:rPr>
          <w:rFonts w:eastAsia="Times New Roman"/>
          <w:lang w:val="en-GB" w:eastAsia="en-GB"/>
        </w:rPr>
        <w:t xml:space="preserve"> When combining that with known leak paths in the building fabric (so the depression would not be large) not confirming structural stability of the roof in these circumstances appears to have been over-conservative. </w:t>
      </w:r>
      <w:r w:rsidR="00A0429B">
        <w:rPr>
          <w:rFonts w:eastAsia="Times New Roman"/>
          <w:lang w:val="en-GB" w:eastAsia="en-GB"/>
        </w:rPr>
        <w:t xml:space="preserve"> </w:t>
      </w:r>
      <w:r w:rsidRPr="00A0429B">
        <w:rPr>
          <w:rFonts w:eastAsia="Times New Roman"/>
          <w:lang w:val="en-GB" w:eastAsia="en-GB"/>
        </w:rPr>
        <w:t xml:space="preserve">Appropriate challenge, along with team-working, can resolve issues like this. </w:t>
      </w:r>
      <w:r w:rsidR="00A0429B">
        <w:rPr>
          <w:rFonts w:eastAsia="Times New Roman"/>
          <w:lang w:val="en-GB" w:eastAsia="en-GB"/>
        </w:rPr>
        <w:t xml:space="preserve"> </w:t>
      </w:r>
      <w:r w:rsidRPr="00A0429B">
        <w:rPr>
          <w:rFonts w:eastAsia="Times New Roman"/>
          <w:lang w:val="en-GB" w:eastAsia="en-GB"/>
        </w:rPr>
        <w:t>Time spent on the challenge can be far more productive than working with the over-conservative assumption</w:t>
      </w:r>
      <w:r w:rsidR="00A0429B">
        <w:rPr>
          <w:rFonts w:eastAsia="Times New Roman"/>
          <w:lang w:val="en-GB" w:eastAsia="en-GB"/>
        </w:rPr>
        <w:t>;</w:t>
      </w:r>
      <w:r w:rsidRPr="00A0429B">
        <w:rPr>
          <w:rFonts w:eastAsia="Times New Roman"/>
          <w:lang w:val="en-GB" w:eastAsia="en-GB"/>
        </w:rPr>
        <w:t xml:space="preserve"> but not always.</w:t>
      </w:r>
    </w:p>
    <w:p w14:paraId="075E27FF"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Sometimes a substantiating engineer may have an opinion that the safety function is highly likely to be provided, but will not write that judgement in a document. </w:t>
      </w:r>
      <w:r w:rsidR="00A0429B">
        <w:rPr>
          <w:rFonts w:eastAsia="Times New Roman"/>
          <w:lang w:val="en-GB" w:eastAsia="en-GB"/>
        </w:rPr>
        <w:t xml:space="preserve"> </w:t>
      </w:r>
      <w:r w:rsidRPr="00A0429B">
        <w:rPr>
          <w:rFonts w:eastAsia="Times New Roman"/>
          <w:lang w:val="en-GB" w:eastAsia="en-GB"/>
        </w:rPr>
        <w:t xml:space="preserve">This can result from a misunderstanding of the confidence level required, or, particularly if the work </w:t>
      </w:r>
      <w:r w:rsidRPr="00A0429B">
        <w:rPr>
          <w:rFonts w:eastAsia="Times New Roman"/>
          <w:lang w:val="en-GB" w:eastAsia="en-GB"/>
        </w:rPr>
        <w:lastRenderedPageBreak/>
        <w:t xml:space="preserve">is being done by an external contractor, concern over liability. </w:t>
      </w:r>
      <w:r w:rsidR="00A0429B">
        <w:rPr>
          <w:rFonts w:eastAsia="Times New Roman"/>
          <w:lang w:val="en-GB" w:eastAsia="en-GB"/>
        </w:rPr>
        <w:t xml:space="preserve"> </w:t>
      </w:r>
      <w:r w:rsidRPr="00A0429B">
        <w:rPr>
          <w:rFonts w:eastAsia="Times New Roman"/>
          <w:lang w:val="en-GB" w:eastAsia="en-GB"/>
        </w:rPr>
        <w:t>Moving to a</w:t>
      </w:r>
      <w:r w:rsidR="00A0429B">
        <w:rPr>
          <w:rFonts w:eastAsia="Times New Roman"/>
          <w:lang w:val="en-GB" w:eastAsia="en-GB"/>
        </w:rPr>
        <w:t xml:space="preserve"> </w:t>
      </w:r>
      <w:r>
        <w:t xml:space="preserve">position where it is regarded as acceptable to write expert judgement into documents (along with a description of how the expert judgement is reached) is important in avoiding over-conservatism. </w:t>
      </w:r>
      <w:r w:rsidR="00A0429B">
        <w:t xml:space="preserve"> </w:t>
      </w:r>
      <w:r>
        <w:t xml:space="preserve">The following advice may be helpful in approaching the </w:t>
      </w:r>
      <w:proofErr w:type="spellStart"/>
      <w:r w:rsidR="00A0429B">
        <w:t>formalisation</w:t>
      </w:r>
      <w:proofErr w:type="spellEnd"/>
      <w:r>
        <w:t xml:space="preserve"> of engineering judgement:</w:t>
      </w:r>
    </w:p>
    <w:p w14:paraId="4231223A" w14:textId="77777777"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Use a team approach to clarify the logic, from safety assessment through safety function wording to substantiation</w:t>
      </w:r>
      <w:r w:rsidR="00A0429B">
        <w:rPr>
          <w:rFonts w:eastAsia="Times New Roman" w:cs="Times New Roman"/>
          <w:lang w:val="en-GB" w:eastAsia="en-GB"/>
        </w:rPr>
        <w:t>;</w:t>
      </w:r>
    </w:p>
    <w:p w14:paraId="71FAD492" w14:textId="6291CDA2"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Identify issues where your experience and expertise tell you that there is both a solution and an efficient route to that solution</w:t>
      </w:r>
      <w:r w:rsidR="00A0429B">
        <w:rPr>
          <w:rFonts w:eastAsia="Times New Roman" w:cs="Times New Roman"/>
          <w:lang w:val="en-GB" w:eastAsia="en-GB"/>
        </w:rPr>
        <w:t>;</w:t>
      </w:r>
    </w:p>
    <w:p w14:paraId="3EB9EC83" w14:textId="77777777"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Formulate your rationale (including logical argument based on analysis of the design and on ageing effects)</w:t>
      </w:r>
      <w:r w:rsidR="00A0429B">
        <w:rPr>
          <w:rFonts w:eastAsia="Times New Roman" w:cs="Times New Roman"/>
          <w:lang w:val="en-GB" w:eastAsia="en-GB"/>
        </w:rPr>
        <w:t>;</w:t>
      </w:r>
    </w:p>
    <w:p w14:paraId="7DB320A6" w14:textId="77777777"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Discuss your rationale with your peers both within the project and within your engineering discipline</w:t>
      </w:r>
      <w:r w:rsidR="00A0429B">
        <w:rPr>
          <w:rFonts w:eastAsia="Times New Roman" w:cs="Times New Roman"/>
          <w:lang w:val="en-GB" w:eastAsia="en-GB"/>
        </w:rPr>
        <w:t>;</w:t>
      </w:r>
    </w:p>
    <w:p w14:paraId="5BF86FF2" w14:textId="77777777"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Agree with your peers the approach, the level of underpinning, and the level of peer review</w:t>
      </w:r>
      <w:r w:rsidR="00A0429B">
        <w:rPr>
          <w:rFonts w:eastAsia="Times New Roman" w:cs="Times New Roman"/>
          <w:lang w:val="en-GB" w:eastAsia="en-GB"/>
        </w:rPr>
        <w:t>;</w:t>
      </w:r>
    </w:p>
    <w:p w14:paraId="64EB89A1" w14:textId="77777777"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If appropriate discuss with regulators</w:t>
      </w:r>
      <w:r w:rsidR="00A0429B">
        <w:rPr>
          <w:rFonts w:eastAsia="Times New Roman" w:cs="Times New Roman"/>
          <w:lang w:val="en-GB" w:eastAsia="en-GB"/>
        </w:rPr>
        <w:t>;</w:t>
      </w:r>
    </w:p>
    <w:p w14:paraId="3B0BC2D9" w14:textId="762E4D5C" w:rsidR="00CF796F" w:rsidRPr="00A0429B"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Write</w:t>
      </w:r>
      <w:r w:rsidR="00826413">
        <w:rPr>
          <w:rFonts w:eastAsia="Times New Roman" w:cs="Times New Roman"/>
          <w:lang w:val="en-GB" w:eastAsia="en-GB"/>
        </w:rPr>
        <w:t xml:space="preserve"> </w:t>
      </w:r>
      <w:r w:rsidRPr="00A0429B">
        <w:rPr>
          <w:rFonts w:eastAsia="Times New Roman" w:cs="Times New Roman"/>
          <w:lang w:val="en-GB" w:eastAsia="en-GB"/>
        </w:rPr>
        <w:t>up the solution using the agreed approach</w:t>
      </w:r>
      <w:r w:rsidR="00A0429B">
        <w:rPr>
          <w:rFonts w:eastAsia="Times New Roman" w:cs="Times New Roman"/>
          <w:lang w:val="en-GB" w:eastAsia="en-GB"/>
        </w:rPr>
        <w:t>;</w:t>
      </w:r>
    </w:p>
    <w:p w14:paraId="4D3EE51C" w14:textId="77777777" w:rsidR="00CF796F" w:rsidRDefault="0087786B" w:rsidP="00A0429B">
      <w:pPr>
        <w:pStyle w:val="ListParagraph"/>
        <w:widowControl/>
        <w:numPr>
          <w:ilvl w:val="1"/>
          <w:numId w:val="2"/>
        </w:numPr>
        <w:autoSpaceDE/>
        <w:autoSpaceDN/>
        <w:spacing w:before="60" w:after="60"/>
        <w:ind w:left="1418"/>
        <w:contextualSpacing/>
        <w:rPr>
          <w:rFonts w:eastAsia="Times New Roman" w:cs="Times New Roman"/>
          <w:lang w:val="en-GB" w:eastAsia="en-GB"/>
        </w:rPr>
      </w:pPr>
      <w:r w:rsidRPr="00A0429B">
        <w:rPr>
          <w:rFonts w:eastAsia="Times New Roman" w:cs="Times New Roman"/>
          <w:lang w:val="en-GB" w:eastAsia="en-GB"/>
        </w:rPr>
        <w:t>Obtain formal agreement through signatures on your document.</w:t>
      </w:r>
    </w:p>
    <w:p w14:paraId="00E83AB1" w14:textId="77777777" w:rsidR="00A0429B" w:rsidRPr="00A0429B" w:rsidRDefault="00A0429B" w:rsidP="00A0429B">
      <w:pPr>
        <w:pStyle w:val="ListParagraph"/>
        <w:widowControl/>
        <w:autoSpaceDE/>
        <w:autoSpaceDN/>
        <w:spacing w:before="60" w:after="60"/>
        <w:ind w:left="1418" w:firstLine="0"/>
        <w:contextualSpacing/>
        <w:rPr>
          <w:rFonts w:eastAsia="Times New Roman" w:cs="Times New Roman"/>
          <w:lang w:val="en-GB" w:eastAsia="en-GB"/>
        </w:rPr>
      </w:pPr>
    </w:p>
    <w:p w14:paraId="682051C5"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It is of course possible that engineering judgement could show that a safety function is not substantiated.</w:t>
      </w:r>
    </w:p>
    <w:p w14:paraId="3AEDD89F"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Substantiating engineers must have enough independence from the safety case owner to be able to identify any reasonable shortfalls against safety functions. </w:t>
      </w:r>
      <w:r w:rsidR="00A0429B">
        <w:rPr>
          <w:rFonts w:eastAsia="Times New Roman"/>
          <w:lang w:val="en-GB" w:eastAsia="en-GB"/>
        </w:rPr>
        <w:t xml:space="preserve"> </w:t>
      </w:r>
      <w:r w:rsidRPr="00A0429B">
        <w:rPr>
          <w:rFonts w:eastAsia="Times New Roman"/>
          <w:lang w:val="en-GB" w:eastAsia="en-GB"/>
        </w:rPr>
        <w:t>Many important safety improvements have been made because engineers have identified insufficient confidence in SSCs meeting safety functions.</w:t>
      </w:r>
      <w:r w:rsidR="00A0429B">
        <w:rPr>
          <w:rFonts w:eastAsia="Times New Roman"/>
          <w:lang w:val="en-GB" w:eastAsia="en-GB"/>
        </w:rPr>
        <w:t xml:space="preserve"> </w:t>
      </w:r>
      <w:r w:rsidRPr="00A0429B">
        <w:rPr>
          <w:rFonts w:eastAsia="Times New Roman"/>
          <w:lang w:val="en-GB" w:eastAsia="en-GB"/>
        </w:rPr>
        <w:t xml:space="preserve"> In addition, many unnecessary safety improvements have been identified because engineers have misunderstood safety functions or have been given inadequately defined safety functions. </w:t>
      </w:r>
      <w:r w:rsidR="00A0429B">
        <w:rPr>
          <w:rFonts w:eastAsia="Times New Roman"/>
          <w:lang w:val="en-GB" w:eastAsia="en-GB"/>
        </w:rPr>
        <w:t xml:space="preserve"> </w:t>
      </w:r>
      <w:r w:rsidRPr="00A0429B">
        <w:rPr>
          <w:rFonts w:eastAsia="Times New Roman"/>
          <w:lang w:val="en-GB" w:eastAsia="en-GB"/>
        </w:rPr>
        <w:t>Thus</w:t>
      </w:r>
      <w:r w:rsidR="00A0429B">
        <w:rPr>
          <w:rFonts w:eastAsia="Times New Roman"/>
          <w:lang w:val="en-GB" w:eastAsia="en-GB"/>
        </w:rPr>
        <w:t>,</w:t>
      </w:r>
      <w:r w:rsidRPr="00A0429B">
        <w:rPr>
          <w:rFonts w:eastAsia="Times New Roman"/>
          <w:lang w:val="en-GB" w:eastAsia="en-GB"/>
        </w:rPr>
        <w:t xml:space="preserve"> accurate definition of safety functions (for example by using appropriate performance requirements) is key to avoiding under-conservatism and over-conservatism.</w:t>
      </w:r>
    </w:p>
    <w:p w14:paraId="519C19D6" w14:textId="77777777" w:rsidR="00CF796F" w:rsidRDefault="00A0429B" w:rsidP="00A0429B">
      <w:pPr>
        <w:pStyle w:val="Heading2"/>
      </w:pPr>
      <w:bookmarkStart w:id="33" w:name="_Toc50110455"/>
      <w:r>
        <w:t>6.5</w:t>
      </w:r>
      <w:r>
        <w:tab/>
      </w:r>
      <w:r w:rsidR="0087786B">
        <w:t>Achieving a Balance in Other Areas</w:t>
      </w:r>
      <w:bookmarkEnd w:id="33"/>
    </w:p>
    <w:p w14:paraId="6C980AEB"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The scope of a safety case sometimes conservatively includes an operation that is no longer carried out. </w:t>
      </w:r>
      <w:r w:rsidR="00A0429B">
        <w:rPr>
          <w:rFonts w:eastAsia="Times New Roman"/>
          <w:lang w:val="en-GB" w:eastAsia="en-GB"/>
        </w:rPr>
        <w:t xml:space="preserve"> </w:t>
      </w:r>
      <w:r w:rsidRPr="00A0429B">
        <w:rPr>
          <w:rFonts w:eastAsia="Times New Roman"/>
          <w:lang w:val="en-GB" w:eastAsia="en-GB"/>
        </w:rPr>
        <w:t xml:space="preserve">The analysis of this operation may be long and complex, and difficult due to lack of current plant experience. </w:t>
      </w:r>
      <w:r w:rsidR="00A0429B">
        <w:rPr>
          <w:rFonts w:eastAsia="Times New Roman"/>
          <w:lang w:val="en-GB" w:eastAsia="en-GB"/>
        </w:rPr>
        <w:t xml:space="preserve"> </w:t>
      </w:r>
      <w:r w:rsidRPr="00A0429B">
        <w:rPr>
          <w:rFonts w:eastAsia="Times New Roman"/>
          <w:lang w:val="en-GB" w:eastAsia="en-GB"/>
        </w:rPr>
        <w:t xml:space="preserve">It may be more appropriate to ‘ban’ the operation rather than to analyse it, e.g. by excluding from scope and requiring a modification proposal/case to allow the operation to take place if desired in </w:t>
      </w:r>
      <w:r w:rsidR="00A0429B">
        <w:rPr>
          <w:rFonts w:eastAsia="Times New Roman"/>
          <w:lang w:val="en-GB" w:eastAsia="en-GB"/>
        </w:rPr>
        <w:t xml:space="preserve">the </w:t>
      </w:r>
      <w:r w:rsidRPr="00A0429B">
        <w:rPr>
          <w:rFonts w:eastAsia="Times New Roman"/>
          <w:lang w:val="en-GB" w:eastAsia="en-GB"/>
        </w:rPr>
        <w:t xml:space="preserve">future. </w:t>
      </w:r>
      <w:r w:rsidR="00A0429B">
        <w:rPr>
          <w:rFonts w:eastAsia="Times New Roman"/>
          <w:lang w:val="en-GB" w:eastAsia="en-GB"/>
        </w:rPr>
        <w:t xml:space="preserve"> </w:t>
      </w:r>
      <w:r w:rsidRPr="00A0429B">
        <w:rPr>
          <w:rFonts w:eastAsia="Times New Roman"/>
          <w:lang w:val="en-GB" w:eastAsia="en-GB"/>
        </w:rPr>
        <w:t xml:space="preserve">On the other hand, it is possible that an infrequent operation is excluded from a safety case that really should be included. </w:t>
      </w:r>
      <w:r w:rsidR="00A0429B">
        <w:rPr>
          <w:rFonts w:eastAsia="Times New Roman"/>
          <w:lang w:val="en-GB" w:eastAsia="en-GB"/>
        </w:rPr>
        <w:t xml:space="preserve"> </w:t>
      </w:r>
      <w:r w:rsidRPr="00A0429B">
        <w:rPr>
          <w:rFonts w:eastAsia="Times New Roman"/>
          <w:lang w:val="en-GB" w:eastAsia="en-GB"/>
        </w:rPr>
        <w:t xml:space="preserve">Close working with representatives of operations is </w:t>
      </w:r>
      <w:r w:rsidR="00A0429B">
        <w:rPr>
          <w:rFonts w:eastAsia="Times New Roman"/>
          <w:lang w:val="en-GB" w:eastAsia="en-GB"/>
        </w:rPr>
        <w:t xml:space="preserve">therefore </w:t>
      </w:r>
      <w:r w:rsidRPr="00A0429B">
        <w:rPr>
          <w:rFonts w:eastAsia="Times New Roman"/>
          <w:lang w:val="en-GB" w:eastAsia="en-GB"/>
        </w:rPr>
        <w:t>required.</w:t>
      </w:r>
    </w:p>
    <w:p w14:paraId="1FE7D3F5" w14:textId="77777777" w:rsidR="00CF796F" w:rsidRP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Bounding cases can be significant in avoiding complexity, and thereby avoiding over-designation of safety measures. </w:t>
      </w:r>
      <w:r w:rsidR="00A0429B">
        <w:rPr>
          <w:rFonts w:eastAsia="Times New Roman"/>
          <w:lang w:val="en-GB" w:eastAsia="en-GB"/>
        </w:rPr>
        <w:t xml:space="preserve"> </w:t>
      </w:r>
      <w:r w:rsidRPr="00A0429B">
        <w:rPr>
          <w:rFonts w:eastAsia="Times New Roman"/>
          <w:lang w:val="en-GB" w:eastAsia="en-GB"/>
        </w:rPr>
        <w:t xml:space="preserve">However, bounding too many scenarios within one bounding case can result in safety measures applying unnecessarily to too many operations. </w:t>
      </w:r>
      <w:r w:rsidR="00A0429B">
        <w:rPr>
          <w:rFonts w:eastAsia="Times New Roman"/>
          <w:lang w:val="en-GB" w:eastAsia="en-GB"/>
        </w:rPr>
        <w:t xml:space="preserve"> </w:t>
      </w:r>
      <w:r w:rsidRPr="00A0429B">
        <w:rPr>
          <w:rFonts w:eastAsia="Times New Roman"/>
          <w:lang w:val="en-GB" w:eastAsia="en-GB"/>
        </w:rPr>
        <w:t>Again, a balance is required.</w:t>
      </w:r>
    </w:p>
    <w:p w14:paraId="1BBB17C7" w14:textId="262ADA76" w:rsidR="00A0429B" w:rsidRDefault="0087786B" w:rsidP="00A0429B">
      <w:pPr>
        <w:pStyle w:val="ListParagraph"/>
        <w:widowControl/>
        <w:autoSpaceDE/>
        <w:autoSpaceDN/>
        <w:spacing w:before="120" w:after="120"/>
        <w:ind w:left="851" w:firstLine="0"/>
        <w:rPr>
          <w:rFonts w:eastAsia="Times New Roman"/>
          <w:lang w:val="en-GB" w:eastAsia="en-GB"/>
        </w:rPr>
      </w:pPr>
      <w:r w:rsidRPr="00A0429B">
        <w:rPr>
          <w:rFonts w:eastAsia="Times New Roman"/>
          <w:lang w:val="en-GB" w:eastAsia="en-GB"/>
        </w:rPr>
        <w:t xml:space="preserve">It is often thought that DBA requires a conservative value for initiating fault frequency, but </w:t>
      </w:r>
      <w:r w:rsidRPr="00826413">
        <w:rPr>
          <w:rFonts w:eastAsia="Times New Roman"/>
          <w:color w:val="000000" w:themeColor="text1"/>
          <w:lang w:val="en-GB" w:eastAsia="en-GB"/>
        </w:rPr>
        <w:t xml:space="preserve">Reference 1 does not require </w:t>
      </w:r>
      <w:r w:rsidRPr="00A0429B">
        <w:rPr>
          <w:rFonts w:eastAsia="Times New Roman"/>
          <w:lang w:val="en-GB" w:eastAsia="en-GB"/>
        </w:rPr>
        <w:t xml:space="preserve">this, at least not for internal faults: ‘Initiating fault frequencies should be determined on a best-estimate basis with the exception of natural hazards where a conservative approach should be adopted.’ </w:t>
      </w:r>
      <w:r w:rsidR="00A0429B">
        <w:rPr>
          <w:rFonts w:eastAsia="Times New Roman"/>
          <w:lang w:val="en-GB" w:eastAsia="en-GB"/>
        </w:rPr>
        <w:t xml:space="preserve"> </w:t>
      </w:r>
      <w:r w:rsidRPr="00A0429B">
        <w:rPr>
          <w:rFonts w:eastAsia="Times New Roman"/>
          <w:lang w:val="en-GB" w:eastAsia="en-GB"/>
        </w:rPr>
        <w:t>The exception for natural hazards is mainly to reflect uncertainties in the underlying data used when defining the most extreme events.</w:t>
      </w:r>
    </w:p>
    <w:p w14:paraId="738BE27D" w14:textId="77777777" w:rsidR="00CF796F" w:rsidRDefault="0087786B" w:rsidP="00A0429B">
      <w:pPr>
        <w:pStyle w:val="ListParagraph"/>
        <w:widowControl/>
        <w:autoSpaceDE/>
        <w:autoSpaceDN/>
        <w:spacing w:before="120" w:after="120"/>
        <w:ind w:left="851" w:firstLine="0"/>
      </w:pPr>
      <w:r>
        <w:t>A frequent example of conservatism in probabilistic safety assessment (where conservatism is not required) is to use the equation for assessing worker risk like this:</w:t>
      </w:r>
    </w:p>
    <w:p w14:paraId="587CD443" w14:textId="77777777" w:rsidR="00083D3F" w:rsidRDefault="0087786B" w:rsidP="00083D3F">
      <w:pPr>
        <w:pStyle w:val="ListParagraph"/>
        <w:widowControl/>
        <w:autoSpaceDE/>
        <w:autoSpaceDN/>
        <w:spacing w:before="120" w:after="120"/>
        <w:ind w:left="851" w:firstLine="0"/>
      </w:pPr>
      <w:r>
        <w:lastRenderedPageBreak/>
        <w:t xml:space="preserve">Risk of death to an individual worker per year = the sum across all </w:t>
      </w:r>
      <w:r w:rsidR="00A0429B">
        <w:t>a</w:t>
      </w:r>
      <w:r>
        <w:t>ccidents of:</w:t>
      </w:r>
    </w:p>
    <w:p w14:paraId="3C8554C2" w14:textId="77777777" w:rsidR="00826413" w:rsidRDefault="0087786B" w:rsidP="00083D3F">
      <w:pPr>
        <w:pStyle w:val="BodyText"/>
        <w:spacing w:before="120" w:line="355" w:lineRule="auto"/>
        <w:ind w:left="1701" w:right="-7"/>
      </w:pPr>
      <w:r>
        <w:t>accident dose to most exposed worker (</w:t>
      </w:r>
      <w:proofErr w:type="spellStart"/>
      <w:r>
        <w:t>Sv</w:t>
      </w:r>
      <w:proofErr w:type="spellEnd"/>
      <w:r>
        <w:t>)</w:t>
      </w:r>
    </w:p>
    <w:p w14:paraId="77F5D405" w14:textId="77777777" w:rsidR="00826413" w:rsidRDefault="0087786B" w:rsidP="00083D3F">
      <w:pPr>
        <w:pStyle w:val="BodyText"/>
        <w:spacing w:before="120" w:line="355" w:lineRule="auto"/>
        <w:ind w:left="1701" w:right="-7"/>
      </w:pPr>
      <w:r>
        <w:t>x 0.05 deaths/</w:t>
      </w:r>
      <w:proofErr w:type="spellStart"/>
      <w:r>
        <w:t>Sv</w:t>
      </w:r>
      <w:proofErr w:type="spellEnd"/>
    </w:p>
    <w:p w14:paraId="47E7FC1C" w14:textId="2CD3B51C" w:rsidR="00083D3F" w:rsidRDefault="0087786B" w:rsidP="00083D3F">
      <w:pPr>
        <w:pStyle w:val="BodyText"/>
        <w:spacing w:before="120" w:line="355" w:lineRule="auto"/>
        <w:ind w:left="1701" w:right="-7"/>
      </w:pPr>
      <w:r>
        <w:t>x frequency of the relevant accident in the facility per year.</w:t>
      </w:r>
    </w:p>
    <w:p w14:paraId="29BF9BFC" w14:textId="77777777" w:rsidR="00CF796F" w:rsidRDefault="0087786B" w:rsidP="00083D3F">
      <w:pPr>
        <w:pStyle w:val="ListParagraph"/>
        <w:widowControl/>
        <w:autoSpaceDE/>
        <w:autoSpaceDN/>
        <w:spacing w:before="120" w:after="120"/>
        <w:ind w:left="851" w:firstLine="0"/>
      </w:pPr>
      <w:r>
        <w:t>The above equation conservatively assumes that:</w:t>
      </w:r>
    </w:p>
    <w:p w14:paraId="36CFD5E9" w14:textId="77777777" w:rsidR="00CF796F" w:rsidRPr="00083D3F" w:rsidRDefault="00083D3F" w:rsidP="00083D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E</w:t>
      </w:r>
      <w:r w:rsidR="0087786B" w:rsidRPr="00083D3F">
        <w:rPr>
          <w:rFonts w:eastAsia="Times New Roman" w:cs="Times New Roman"/>
          <w:lang w:val="en-GB" w:eastAsia="en-GB"/>
        </w:rPr>
        <w:t>very worker is present in the facility at the time of every accident; and</w:t>
      </w:r>
      <w:r>
        <w:rPr>
          <w:rFonts w:eastAsia="Times New Roman" w:cs="Times New Roman"/>
          <w:lang w:val="en-GB" w:eastAsia="en-GB"/>
        </w:rPr>
        <w:t>,</w:t>
      </w:r>
    </w:p>
    <w:p w14:paraId="5E4E0A6F" w14:textId="77777777" w:rsidR="00CF796F" w:rsidRDefault="00083D3F" w:rsidP="00083D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E</w:t>
      </w:r>
      <w:r w:rsidR="0087786B" w:rsidRPr="00083D3F">
        <w:rPr>
          <w:rFonts w:eastAsia="Times New Roman" w:cs="Times New Roman"/>
          <w:lang w:val="en-GB" w:eastAsia="en-GB"/>
        </w:rPr>
        <w:t>very worker present in the facility is exposed to the same extent as the most exposed worker.</w:t>
      </w:r>
    </w:p>
    <w:p w14:paraId="72F32667" w14:textId="77777777" w:rsidR="00083D3F" w:rsidRPr="00083D3F" w:rsidRDefault="00083D3F" w:rsidP="00083D3F">
      <w:pPr>
        <w:pStyle w:val="ListParagraph"/>
        <w:widowControl/>
        <w:autoSpaceDE/>
        <w:autoSpaceDN/>
        <w:spacing w:before="60" w:after="60"/>
        <w:ind w:left="1418" w:firstLine="0"/>
        <w:contextualSpacing/>
        <w:rPr>
          <w:rFonts w:eastAsia="Times New Roman" w:cs="Times New Roman"/>
          <w:lang w:val="en-GB" w:eastAsia="en-GB"/>
        </w:rPr>
      </w:pPr>
    </w:p>
    <w:p w14:paraId="751534B3" w14:textId="77777777" w:rsidR="00083D3F" w:rsidRDefault="0087786B" w:rsidP="00083D3F">
      <w:pPr>
        <w:pStyle w:val="ListParagraph"/>
        <w:widowControl/>
        <w:autoSpaceDE/>
        <w:autoSpaceDN/>
        <w:spacing w:before="120" w:after="120"/>
        <w:ind w:left="851" w:firstLine="0"/>
      </w:pPr>
      <w:r>
        <w:t>The first bullet is clearly conservative for shift workers (typically 5 workers are required to provide 1 worker present on the facility at all times) and is still conservative for day (non-shift) workers, but less so.</w:t>
      </w:r>
    </w:p>
    <w:p w14:paraId="4993BDD3" w14:textId="77777777" w:rsidR="00CF796F" w:rsidRPr="00083D3F" w:rsidRDefault="0087786B" w:rsidP="00083D3F">
      <w:pPr>
        <w:pStyle w:val="ListParagraph"/>
        <w:widowControl/>
        <w:autoSpaceDE/>
        <w:autoSpaceDN/>
        <w:spacing w:before="120" w:after="120"/>
        <w:ind w:left="851" w:firstLine="0"/>
      </w:pPr>
      <w:r>
        <w:t xml:space="preserve">The second bullet is also a conservatism, especially in the case of airborne releases for facilities that are well </w:t>
      </w:r>
      <w:proofErr w:type="spellStart"/>
      <w:r w:rsidR="00083D3F">
        <w:t>compartmentalised</w:t>
      </w:r>
      <w:proofErr w:type="spellEnd"/>
      <w:r>
        <w:t xml:space="preserve"> and there are many workers in the facility (mainly in other compartments). </w:t>
      </w:r>
      <w:r w:rsidR="00083D3F">
        <w:t xml:space="preserve"> </w:t>
      </w:r>
      <w:r>
        <w:t>Given that the worker risk criterion is a probabilistic criterion, so best-estimate is appropriate, significant worker risk reduction factors (e.g. 10) may be appropriate in some instances, but individual justification is required.</w:t>
      </w:r>
    </w:p>
    <w:p w14:paraId="43E618CD" w14:textId="77777777" w:rsidR="00CF796F" w:rsidRDefault="00083D3F" w:rsidP="00083D3F">
      <w:pPr>
        <w:pStyle w:val="Heading2"/>
      </w:pPr>
      <w:bookmarkStart w:id="34" w:name="_Toc50110456"/>
      <w:r>
        <w:t>6.6</w:t>
      </w:r>
      <w:r>
        <w:tab/>
      </w:r>
      <w:r w:rsidR="0087786B">
        <w:t>Achieving an Overall Balance</w:t>
      </w:r>
      <w:bookmarkEnd w:id="34"/>
    </w:p>
    <w:p w14:paraId="6D523F72" w14:textId="77777777" w:rsidR="00CF796F" w:rsidRDefault="0087786B" w:rsidP="00083D3F">
      <w:pPr>
        <w:pStyle w:val="ListParagraph"/>
        <w:widowControl/>
        <w:autoSpaceDE/>
        <w:autoSpaceDN/>
        <w:spacing w:before="120" w:after="120"/>
        <w:ind w:left="851" w:firstLine="0"/>
      </w:pPr>
      <w:r>
        <w:t xml:space="preserve">As well as attempting to achieve a balance in all the above areas, a holistic approach may also be required. </w:t>
      </w:r>
      <w:r w:rsidR="00083D3F">
        <w:t xml:space="preserve"> </w:t>
      </w:r>
      <w:r>
        <w:t>A key question when considering the overall analysis is ‘Does it look right?’ - the answer to this question can usefully prompt a review.</w:t>
      </w:r>
      <w:r w:rsidR="00083D3F">
        <w:t xml:space="preserve"> </w:t>
      </w:r>
      <w:r>
        <w:t xml:space="preserve"> It is usually advantageous to bring together all the people involved in a safety case, especially when the overall conclusion of the safety case doesn’t feel right.</w:t>
      </w:r>
      <w:r w:rsidR="00083D3F">
        <w:t xml:space="preserve"> </w:t>
      </w:r>
      <w:r>
        <w:t xml:space="preserve"> It may be that a tendency to under-conservatism or over-conservatism by several different groups would be identified, allowing an overall resolution to be reached.</w:t>
      </w:r>
    </w:p>
    <w:p w14:paraId="0758E37E" w14:textId="77777777" w:rsidR="00CF796F" w:rsidRDefault="0087786B" w:rsidP="00083D3F">
      <w:pPr>
        <w:pStyle w:val="ListParagraph"/>
        <w:widowControl/>
        <w:autoSpaceDE/>
        <w:autoSpaceDN/>
        <w:spacing w:before="120" w:after="120"/>
        <w:ind w:left="851" w:right="-7" w:firstLine="0"/>
      </w:pPr>
      <w:r w:rsidRPr="00083D3F">
        <w:rPr>
          <w:b/>
          <w:bCs/>
        </w:rPr>
        <w:t xml:space="preserve">In order to achieve an overall balance, it is important that potential over- conservatisms are </w:t>
      </w:r>
      <w:proofErr w:type="spellStart"/>
      <w:r w:rsidRPr="00083D3F">
        <w:rPr>
          <w:b/>
          <w:bCs/>
        </w:rPr>
        <w:t>recognised</w:t>
      </w:r>
      <w:proofErr w:type="spellEnd"/>
      <w:r w:rsidRPr="00083D3F">
        <w:rPr>
          <w:b/>
          <w:bCs/>
        </w:rPr>
        <w:t xml:space="preserve"> within an overall safety argument, especially where the outcome appears to fail to give </w:t>
      </w:r>
      <w:r w:rsidR="00083D3F">
        <w:rPr>
          <w:b/>
          <w:bCs/>
        </w:rPr>
        <w:t xml:space="preserve">a </w:t>
      </w:r>
      <w:r w:rsidRPr="00083D3F">
        <w:rPr>
          <w:b/>
          <w:bCs/>
        </w:rPr>
        <w:t>risk that is ALARP</w:t>
      </w:r>
      <w:r w:rsidRPr="00083D3F">
        <w:t>.</w:t>
      </w:r>
      <w:r w:rsidR="00083D3F">
        <w:t xml:space="preserve"> </w:t>
      </w:r>
      <w:r w:rsidRPr="00083D3F">
        <w:t xml:space="preserve"> </w:t>
      </w:r>
      <w:r>
        <w:t>In order to support this, it is helpful if the individual contributions to the overall argument identify in their own documentation (e.g. a hazard analysis) where potential under-conservatisms and over-conservatisms exist.</w:t>
      </w:r>
    </w:p>
    <w:p w14:paraId="781BFB9D" w14:textId="77777777" w:rsidR="00CF796F" w:rsidRDefault="0087786B" w:rsidP="00083D3F">
      <w:pPr>
        <w:pStyle w:val="ListParagraph"/>
        <w:widowControl/>
        <w:autoSpaceDE/>
        <w:autoSpaceDN/>
        <w:spacing w:before="120" w:after="120"/>
        <w:ind w:left="851" w:firstLine="0"/>
      </w:pPr>
      <w:r>
        <w:t>Carrying out a sensitivity analysis, e.g. by carrying out a best-estimate analysis as well as a conservative analysis, may be useful in demonstrating the depth of conservatism.</w:t>
      </w:r>
    </w:p>
    <w:p w14:paraId="6490A1A1" w14:textId="77777777" w:rsidR="00CF796F" w:rsidRDefault="0087786B" w:rsidP="00083D3F">
      <w:pPr>
        <w:pStyle w:val="ListParagraph"/>
        <w:widowControl/>
        <w:autoSpaceDE/>
        <w:autoSpaceDN/>
        <w:spacing w:before="120" w:after="120"/>
        <w:ind w:left="851" w:firstLine="0"/>
      </w:pPr>
      <w:r>
        <w:t xml:space="preserve">When considering what is ALARP, over-conservatism in one aspect, e.g. the risk from accidents, can dominate thinking such that an overall ALARP balance is not achieved. </w:t>
      </w:r>
      <w:r w:rsidR="00083D3F">
        <w:t xml:space="preserve"> </w:t>
      </w:r>
      <w:r>
        <w:t xml:space="preserve">The tendency in ALARP arguments just to </w:t>
      </w:r>
      <w:proofErr w:type="spellStart"/>
      <w:r>
        <w:t>emphasise</w:t>
      </w:r>
      <w:proofErr w:type="spellEnd"/>
      <w:r>
        <w:t xml:space="preserve"> conservatisms (sometimes to the extent that the concepts of ‘ALARP’ and ‘conservatism’ can become confused) does not achieve an acceptable ALARP argument (which needs to consider options) - it would be better to remove over-conservatisms within the main safety analysis, thus providing an appropriate basis for the overall ALARP argument.</w:t>
      </w:r>
    </w:p>
    <w:p w14:paraId="1B959766" w14:textId="77777777" w:rsidR="00CF796F" w:rsidRDefault="0087786B" w:rsidP="00083D3F">
      <w:pPr>
        <w:pStyle w:val="ListParagraph"/>
        <w:widowControl/>
        <w:autoSpaceDE/>
        <w:autoSpaceDN/>
        <w:spacing w:before="120" w:after="120"/>
        <w:ind w:left="851" w:firstLine="0"/>
      </w:pPr>
      <w:r>
        <w:t>In some cases, the same conservatism can be quoted as a response to a series of emergent issues or unexpected observations.</w:t>
      </w:r>
      <w:r w:rsidR="00083D3F">
        <w:t xml:space="preserve"> </w:t>
      </w:r>
      <w:r>
        <w:t xml:space="preserve"> Making an effort to see the big picture</w:t>
      </w:r>
      <w:r w:rsidR="00083D3F">
        <w:t xml:space="preserve"> </w:t>
      </w:r>
      <w:r>
        <w:t>may reveal that all of the original conservatism has been used up, such that the overall argument is now under-conservative or even optimistic.</w:t>
      </w:r>
    </w:p>
    <w:p w14:paraId="54DDEBD6" w14:textId="77777777" w:rsidR="00F60405" w:rsidRDefault="00F60405">
      <w:r>
        <w:br w:type="page"/>
      </w:r>
    </w:p>
    <w:p w14:paraId="60AD4B07" w14:textId="77777777" w:rsidR="00CF796F" w:rsidRDefault="0087786B" w:rsidP="00826413">
      <w:pPr>
        <w:pStyle w:val="Heading1"/>
      </w:pPr>
      <w:bookmarkStart w:id="35" w:name="_Toc50110457"/>
      <w:r>
        <w:lastRenderedPageBreak/>
        <w:t>Summary of Key Points</w:t>
      </w:r>
      <w:bookmarkEnd w:id="35"/>
    </w:p>
    <w:p w14:paraId="73244706" w14:textId="77777777" w:rsidR="00CF796F" w:rsidRDefault="0087786B" w:rsidP="00083D3F">
      <w:pPr>
        <w:pStyle w:val="ListParagraph"/>
        <w:widowControl/>
        <w:autoSpaceDE/>
        <w:autoSpaceDN/>
        <w:spacing w:before="120" w:after="120"/>
        <w:ind w:left="851" w:firstLine="0"/>
      </w:pPr>
      <w:r>
        <w:t xml:space="preserve">Management of uncertainties is a fundamental part of safety analysis. </w:t>
      </w:r>
      <w:r w:rsidR="00083D3F">
        <w:t xml:space="preserve"> </w:t>
      </w:r>
      <w:r>
        <w:t>Safety cases should identify areas of optimism and uncertainty, together with their significance, in addition to strengths and any claimed conservatisms (and potential conservatisms).</w:t>
      </w:r>
    </w:p>
    <w:p w14:paraId="51C59835" w14:textId="77777777" w:rsidR="00CF796F" w:rsidRDefault="0087786B" w:rsidP="00083D3F">
      <w:pPr>
        <w:pStyle w:val="ListParagraph"/>
        <w:widowControl/>
        <w:autoSpaceDE/>
        <w:autoSpaceDN/>
        <w:spacing w:before="120" w:after="120"/>
        <w:ind w:left="851" w:firstLine="0"/>
      </w:pPr>
      <w:r>
        <w:t xml:space="preserve">Conservatism is an important part of safety cases. </w:t>
      </w:r>
      <w:r w:rsidR="00083D3F">
        <w:t xml:space="preserve"> </w:t>
      </w:r>
      <w:r w:rsidRPr="00083D3F">
        <w:rPr>
          <w:b/>
          <w:bCs/>
        </w:rPr>
        <w:t>Overall conservatism</w:t>
      </w:r>
      <w:r w:rsidRPr="00083D3F">
        <w:t xml:space="preserve"> </w:t>
      </w:r>
      <w:r>
        <w:t>is what is required for Design Basis Analysis; it is not necessary for every element in the analysis to be demonstrably conservative.</w:t>
      </w:r>
    </w:p>
    <w:p w14:paraId="246CF9CE" w14:textId="77777777" w:rsidR="00CF796F" w:rsidRDefault="0087786B" w:rsidP="00083D3F">
      <w:pPr>
        <w:pStyle w:val="ListParagraph"/>
        <w:widowControl/>
        <w:autoSpaceDE/>
        <w:autoSpaceDN/>
        <w:spacing w:before="120" w:after="120"/>
        <w:ind w:left="851" w:firstLine="0"/>
      </w:pPr>
      <w:r>
        <w:t>Over-conservatism, as well as under-conservatism, can be the enemy of safety.</w:t>
      </w:r>
    </w:p>
    <w:p w14:paraId="03B8116E" w14:textId="77777777" w:rsidR="00CF796F" w:rsidRDefault="0087786B" w:rsidP="00083D3F">
      <w:pPr>
        <w:pStyle w:val="ListParagraph"/>
        <w:widowControl/>
        <w:autoSpaceDE/>
        <w:autoSpaceDN/>
        <w:spacing w:before="120" w:after="120"/>
        <w:ind w:left="851" w:firstLine="0"/>
      </w:pPr>
      <w:r>
        <w:t>Areas where under-conservatism or over-conservatism are particularly important include:</w:t>
      </w:r>
    </w:p>
    <w:p w14:paraId="47816846" w14:textId="77777777" w:rsidR="00CF796F" w:rsidRPr="00083D3F" w:rsidRDefault="00083D3F" w:rsidP="00083D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F</w:t>
      </w:r>
      <w:r w:rsidR="0087786B" w:rsidRPr="00083D3F">
        <w:rPr>
          <w:rFonts w:eastAsia="Times New Roman" w:cs="Times New Roman"/>
          <w:lang w:val="en-GB" w:eastAsia="en-GB"/>
        </w:rPr>
        <w:t>ault progression;</w:t>
      </w:r>
    </w:p>
    <w:p w14:paraId="4A8A31ED" w14:textId="77777777" w:rsidR="00CF796F" w:rsidRPr="00083D3F" w:rsidRDefault="00083D3F" w:rsidP="00083D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C</w:t>
      </w:r>
      <w:r w:rsidR="0087786B" w:rsidRPr="00083D3F">
        <w:rPr>
          <w:rFonts w:eastAsia="Times New Roman" w:cs="Times New Roman"/>
          <w:lang w:val="en-GB" w:eastAsia="en-GB"/>
        </w:rPr>
        <w:t>onsequence assessment; and</w:t>
      </w:r>
      <w:r>
        <w:rPr>
          <w:rFonts w:eastAsia="Times New Roman" w:cs="Times New Roman"/>
          <w:lang w:val="en-GB" w:eastAsia="en-GB"/>
        </w:rPr>
        <w:t>,</w:t>
      </w:r>
    </w:p>
    <w:p w14:paraId="32AA2B8A" w14:textId="77777777" w:rsidR="00CF796F" w:rsidRDefault="00083D3F" w:rsidP="00083D3F">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E</w:t>
      </w:r>
      <w:r w:rsidR="0087786B" w:rsidRPr="00083D3F">
        <w:rPr>
          <w:rFonts w:eastAsia="Times New Roman" w:cs="Times New Roman"/>
          <w:lang w:val="en-GB" w:eastAsia="en-GB"/>
        </w:rPr>
        <w:t>ngineering substantiation.</w:t>
      </w:r>
    </w:p>
    <w:p w14:paraId="455509D3" w14:textId="77777777" w:rsidR="00083D3F" w:rsidRPr="00083D3F" w:rsidRDefault="00083D3F" w:rsidP="00083D3F">
      <w:pPr>
        <w:pStyle w:val="ListParagraph"/>
        <w:widowControl/>
        <w:autoSpaceDE/>
        <w:autoSpaceDN/>
        <w:spacing w:before="60" w:after="60"/>
        <w:ind w:left="1418" w:firstLine="0"/>
        <w:contextualSpacing/>
        <w:rPr>
          <w:rFonts w:eastAsia="Times New Roman" w:cs="Times New Roman"/>
          <w:lang w:val="en-GB" w:eastAsia="en-GB"/>
        </w:rPr>
      </w:pPr>
    </w:p>
    <w:p w14:paraId="6A66C26F" w14:textId="5A69B152" w:rsidR="00CF796F" w:rsidRDefault="0087786B" w:rsidP="00083D3F">
      <w:pPr>
        <w:pStyle w:val="ListParagraph"/>
        <w:widowControl/>
        <w:autoSpaceDE/>
        <w:autoSpaceDN/>
        <w:spacing w:before="120" w:after="120"/>
        <w:ind w:left="851" w:firstLine="0"/>
      </w:pPr>
      <w:r>
        <w:t xml:space="preserve">In addition, the overall balance is very </w:t>
      </w:r>
      <w:r w:rsidRPr="00826413">
        <w:rPr>
          <w:color w:val="000000" w:themeColor="text1"/>
        </w:rPr>
        <w:t xml:space="preserve">important - see the </w:t>
      </w:r>
      <w:r w:rsidR="00083D3F" w:rsidRPr="00826413">
        <w:rPr>
          <w:color w:val="000000" w:themeColor="text1"/>
        </w:rPr>
        <w:t>S</w:t>
      </w:r>
      <w:r w:rsidRPr="00826413">
        <w:rPr>
          <w:color w:val="000000" w:themeColor="text1"/>
        </w:rPr>
        <w:t xml:space="preserve">ection </w:t>
      </w:r>
      <w:r w:rsidR="00826413" w:rsidRPr="00826413">
        <w:rPr>
          <w:color w:val="000000" w:themeColor="text1"/>
        </w:rPr>
        <w:t xml:space="preserve">6.6 </w:t>
      </w:r>
      <w:r w:rsidRPr="00826413">
        <w:rPr>
          <w:color w:val="000000" w:themeColor="text1"/>
        </w:rPr>
        <w:t xml:space="preserve">on ‘Achieving an </w:t>
      </w:r>
      <w:r w:rsidR="00083D3F" w:rsidRPr="00826413">
        <w:rPr>
          <w:color w:val="000000" w:themeColor="text1"/>
        </w:rPr>
        <w:t>O</w:t>
      </w:r>
      <w:r w:rsidRPr="00826413">
        <w:rPr>
          <w:color w:val="000000" w:themeColor="text1"/>
        </w:rPr>
        <w:t xml:space="preserve">verall </w:t>
      </w:r>
      <w:r w:rsidR="00083D3F" w:rsidRPr="00826413">
        <w:rPr>
          <w:color w:val="000000" w:themeColor="text1"/>
        </w:rPr>
        <w:t>B</w:t>
      </w:r>
      <w:r w:rsidRPr="00826413">
        <w:rPr>
          <w:color w:val="000000" w:themeColor="text1"/>
        </w:rPr>
        <w:t>alance’.</w:t>
      </w:r>
      <w:r w:rsidR="00083D3F" w:rsidRPr="00826413">
        <w:rPr>
          <w:color w:val="000000" w:themeColor="text1"/>
        </w:rPr>
        <w:t xml:space="preserve"> </w:t>
      </w:r>
      <w:r w:rsidRPr="00826413">
        <w:rPr>
          <w:color w:val="000000" w:themeColor="text1"/>
        </w:rPr>
        <w:t xml:space="preserve"> It is important to understan</w:t>
      </w:r>
      <w:r>
        <w:t>d how the conservatisms might skew ALARP decision-making.</w:t>
      </w:r>
    </w:p>
    <w:p w14:paraId="033E13EA" w14:textId="77777777" w:rsidR="00CF796F" w:rsidRDefault="0087786B" w:rsidP="00083D3F">
      <w:pPr>
        <w:pStyle w:val="ListParagraph"/>
        <w:widowControl/>
        <w:autoSpaceDE/>
        <w:autoSpaceDN/>
        <w:spacing w:before="120" w:after="120"/>
        <w:ind w:left="851" w:firstLine="0"/>
      </w:pPr>
      <w:r>
        <w:t>The effect of combining individual conservatisms is not just cumulative</w:t>
      </w:r>
      <w:r w:rsidR="00083D3F">
        <w:t>,</w:t>
      </w:r>
      <w:r>
        <w:t xml:space="preserve"> it can be multiplicative</w:t>
      </w:r>
      <w:r w:rsidR="00083D3F">
        <w:t>;</w:t>
      </w:r>
      <w:r>
        <w:t xml:space="preserve"> resulting in major over-estimates in assessed results. </w:t>
      </w:r>
      <w:r w:rsidR="00083D3F">
        <w:t xml:space="preserve"> </w:t>
      </w:r>
      <w:r>
        <w:t xml:space="preserve">Combining conservative values of multiple input values (e.g. inventory) can easily lead to a ridiculously unrealistic output value (e.g. dose) </w:t>
      </w:r>
      <w:r w:rsidRPr="00083D3F">
        <w:rPr>
          <w:b/>
          <w:bCs/>
        </w:rPr>
        <w:t>without the analyst</w:t>
      </w:r>
      <w:r w:rsidR="00083D3F">
        <w:rPr>
          <w:b/>
          <w:bCs/>
        </w:rPr>
        <w:t xml:space="preserve"> knowing</w:t>
      </w:r>
      <w:r>
        <w:t xml:space="preserve">. </w:t>
      </w:r>
      <w:r w:rsidR="00083D3F">
        <w:t xml:space="preserve"> </w:t>
      </w:r>
      <w:r>
        <w:t>In consequence or risk assessment (where several parameters are multiplied together) appropriate conservatism in consequences can be achieved by using conservative values (e.g. equivalent to approximately 95</w:t>
      </w:r>
      <w:r w:rsidRPr="00083D3F">
        <w:t>th</w:t>
      </w:r>
      <w:r>
        <w:t xml:space="preserve"> percentile) typically for two parameters, with mean values being used for all other parameters.</w:t>
      </w:r>
    </w:p>
    <w:p w14:paraId="7F8EA795" w14:textId="77777777" w:rsidR="00CF796F" w:rsidRDefault="0087786B" w:rsidP="00706724">
      <w:pPr>
        <w:pStyle w:val="ListParagraph"/>
        <w:widowControl/>
        <w:autoSpaceDE/>
        <w:autoSpaceDN/>
        <w:spacing w:before="120" w:after="120"/>
        <w:ind w:left="851" w:firstLine="0"/>
      </w:pPr>
      <w:r>
        <w:t>Techniques for removing or managing under/over-conservatism that are significant throughout this Guide include:</w:t>
      </w:r>
    </w:p>
    <w:p w14:paraId="1EC00C73"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E</w:t>
      </w:r>
      <w:r w:rsidR="0087786B" w:rsidRPr="00706724">
        <w:rPr>
          <w:rFonts w:eastAsia="Times New Roman" w:cs="Times New Roman"/>
          <w:lang w:val="en-GB" w:eastAsia="en-GB"/>
        </w:rPr>
        <w:t>xplicit identification of optimisms and conservatisms within safety case documents;</w:t>
      </w:r>
    </w:p>
    <w:p w14:paraId="48AA51FF"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A</w:t>
      </w:r>
      <w:r w:rsidR="0087786B" w:rsidRPr="00706724">
        <w:rPr>
          <w:rFonts w:eastAsia="Times New Roman" w:cs="Times New Roman"/>
          <w:lang w:val="en-GB" w:eastAsia="en-GB"/>
        </w:rPr>
        <w:t>uthor self-checking of documents for under-conservatisms or over- conservatisms;</w:t>
      </w:r>
    </w:p>
    <w:p w14:paraId="491882A5"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G</w:t>
      </w:r>
      <w:r w:rsidR="0087786B" w:rsidRPr="00706724">
        <w:rPr>
          <w:rFonts w:eastAsia="Times New Roman" w:cs="Times New Roman"/>
          <w:lang w:val="en-GB" w:eastAsia="en-GB"/>
        </w:rPr>
        <w:t>ood communication, and avoiding ‘silo working’, in particular it is important to seek the views of facility operators during fault identification and fault development;</w:t>
      </w:r>
    </w:p>
    <w:p w14:paraId="4C58DA11"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A</w:t>
      </w:r>
      <w:r w:rsidR="0087786B" w:rsidRPr="00706724">
        <w:rPr>
          <w:rFonts w:eastAsia="Times New Roman" w:cs="Times New Roman"/>
          <w:lang w:val="en-GB" w:eastAsia="en-GB"/>
        </w:rPr>
        <w:t>wareness of the multiplicative effect of over-conservatisms;</w:t>
      </w:r>
    </w:p>
    <w:p w14:paraId="07B2AE1F"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U</w:t>
      </w:r>
      <w:r w:rsidR="0087786B" w:rsidRPr="00706724">
        <w:rPr>
          <w:rFonts w:eastAsia="Times New Roman" w:cs="Times New Roman"/>
          <w:lang w:val="en-GB" w:eastAsia="en-GB"/>
        </w:rPr>
        <w:t>se of sensitivity analysis;</w:t>
      </w:r>
    </w:p>
    <w:p w14:paraId="6CCE9CF9" w14:textId="77777777" w:rsidR="00CF796F" w:rsidRPr="00706724"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A</w:t>
      </w:r>
      <w:r w:rsidR="0087786B" w:rsidRPr="00706724">
        <w:rPr>
          <w:rFonts w:eastAsia="Times New Roman" w:cs="Times New Roman"/>
          <w:lang w:val="en-GB" w:eastAsia="en-GB"/>
        </w:rPr>
        <w:t>ppropriate use of expert judgement; and</w:t>
      </w:r>
      <w:r>
        <w:rPr>
          <w:rFonts w:eastAsia="Times New Roman" w:cs="Times New Roman"/>
          <w:lang w:val="en-GB" w:eastAsia="en-GB"/>
        </w:rPr>
        <w:t>,</w:t>
      </w:r>
    </w:p>
    <w:p w14:paraId="4D68E1C2" w14:textId="77777777" w:rsidR="00CF796F" w:rsidRDefault="00706724" w:rsidP="00706724">
      <w:pPr>
        <w:pStyle w:val="ListParagraph"/>
        <w:widowControl/>
        <w:numPr>
          <w:ilvl w:val="1"/>
          <w:numId w:val="2"/>
        </w:numPr>
        <w:autoSpaceDE/>
        <w:autoSpaceDN/>
        <w:spacing w:before="60" w:after="60"/>
        <w:ind w:left="1418"/>
        <w:contextualSpacing/>
        <w:rPr>
          <w:rFonts w:eastAsia="Times New Roman" w:cs="Times New Roman"/>
          <w:lang w:val="en-GB" w:eastAsia="en-GB"/>
        </w:rPr>
      </w:pPr>
      <w:r>
        <w:rPr>
          <w:rFonts w:eastAsia="Times New Roman" w:cs="Times New Roman"/>
          <w:lang w:val="en-GB" w:eastAsia="en-GB"/>
        </w:rPr>
        <w:t>A</w:t>
      </w:r>
      <w:r w:rsidR="0087786B" w:rsidRPr="00706724">
        <w:rPr>
          <w:rFonts w:eastAsia="Times New Roman" w:cs="Times New Roman"/>
          <w:lang w:val="en-GB" w:eastAsia="en-GB"/>
        </w:rPr>
        <w:t>ppropriate challenge of assumptions and conclusions (asking ‘Does it look right?’) within a team-working environment.</w:t>
      </w:r>
    </w:p>
    <w:p w14:paraId="4BA9BF7E" w14:textId="77777777" w:rsidR="00706724" w:rsidRDefault="00706724" w:rsidP="00706724">
      <w:pPr>
        <w:pStyle w:val="ListParagraph"/>
        <w:widowControl/>
        <w:autoSpaceDE/>
        <w:autoSpaceDN/>
        <w:spacing w:before="60" w:after="60"/>
        <w:ind w:left="1418" w:firstLine="0"/>
        <w:contextualSpacing/>
        <w:rPr>
          <w:rFonts w:eastAsia="Times New Roman" w:cs="Times New Roman"/>
          <w:lang w:val="en-GB" w:eastAsia="en-GB"/>
        </w:rPr>
      </w:pPr>
    </w:p>
    <w:p w14:paraId="4A2433D1" w14:textId="77777777" w:rsidR="00706724" w:rsidRDefault="00706724">
      <w:pPr>
        <w:rPr>
          <w:rFonts w:eastAsia="Times New Roman" w:cs="Times New Roman"/>
          <w:lang w:val="en-GB" w:eastAsia="en-GB"/>
        </w:rPr>
      </w:pPr>
      <w:r>
        <w:rPr>
          <w:rFonts w:eastAsia="Times New Roman" w:cs="Times New Roman"/>
          <w:lang w:val="en-GB" w:eastAsia="en-GB"/>
        </w:rPr>
        <w:br w:type="page"/>
      </w:r>
    </w:p>
    <w:p w14:paraId="69E4BA1B" w14:textId="77777777" w:rsidR="00CF796F" w:rsidRDefault="0087786B" w:rsidP="00826413">
      <w:pPr>
        <w:pStyle w:val="Heading1"/>
      </w:pPr>
      <w:bookmarkStart w:id="36" w:name="_Toc50110458"/>
      <w:r>
        <w:lastRenderedPageBreak/>
        <w:t>References</w:t>
      </w:r>
      <w:bookmarkEnd w:id="36"/>
    </w:p>
    <w:p w14:paraId="06C48E34" w14:textId="2FADB9B1" w:rsidR="00643BCA" w:rsidRDefault="00643BCA" w:rsidP="00643BCA">
      <w:pPr>
        <w:pStyle w:val="ListParagraph"/>
        <w:widowControl/>
        <w:autoSpaceDE/>
        <w:autoSpaceDN/>
        <w:spacing w:before="120" w:after="120"/>
        <w:ind w:left="851" w:firstLine="0"/>
      </w:pPr>
    </w:p>
    <w:tbl>
      <w:tblPr>
        <w:tblStyle w:val="TableGrid"/>
        <w:tblW w:w="0" w:type="auto"/>
        <w:tblInd w:w="851" w:type="dxa"/>
        <w:tblLook w:val="04A0" w:firstRow="1" w:lastRow="0" w:firstColumn="1" w:lastColumn="0" w:noHBand="0" w:noVBand="1"/>
      </w:tblPr>
      <w:tblGrid>
        <w:gridCol w:w="1129"/>
        <w:gridCol w:w="7087"/>
      </w:tblGrid>
      <w:tr w:rsidR="00826413" w14:paraId="032A2F69" w14:textId="77777777" w:rsidTr="00826413">
        <w:tc>
          <w:tcPr>
            <w:tcW w:w="1129" w:type="dxa"/>
            <w:shd w:val="clear" w:color="auto" w:fill="D9D9D9" w:themeFill="background1" w:themeFillShade="D9"/>
          </w:tcPr>
          <w:p w14:paraId="57ACD193" w14:textId="3298CE9F" w:rsidR="00826413" w:rsidRPr="00826413" w:rsidRDefault="00826413" w:rsidP="00826413">
            <w:pPr>
              <w:pStyle w:val="ListParagraph"/>
              <w:spacing w:before="120" w:after="120"/>
              <w:ind w:left="0" w:firstLine="0"/>
              <w:jc w:val="center"/>
              <w:rPr>
                <w:b/>
                <w:bCs/>
                <w:sz w:val="24"/>
                <w:szCs w:val="24"/>
              </w:rPr>
            </w:pPr>
            <w:r w:rsidRPr="00826413">
              <w:rPr>
                <w:b/>
                <w:bCs/>
                <w:sz w:val="24"/>
                <w:szCs w:val="24"/>
              </w:rPr>
              <w:t>No:</w:t>
            </w:r>
          </w:p>
        </w:tc>
        <w:tc>
          <w:tcPr>
            <w:tcW w:w="7087" w:type="dxa"/>
            <w:shd w:val="clear" w:color="auto" w:fill="D9D9D9" w:themeFill="background1" w:themeFillShade="D9"/>
          </w:tcPr>
          <w:p w14:paraId="1BF0E266" w14:textId="4B648055" w:rsidR="00826413" w:rsidRPr="00826413" w:rsidRDefault="00826413" w:rsidP="00826413">
            <w:pPr>
              <w:pStyle w:val="ListParagraph"/>
              <w:spacing w:before="120" w:after="120"/>
              <w:ind w:left="0" w:firstLine="0"/>
              <w:jc w:val="center"/>
              <w:rPr>
                <w:b/>
                <w:bCs/>
                <w:sz w:val="24"/>
                <w:szCs w:val="24"/>
              </w:rPr>
            </w:pPr>
            <w:r w:rsidRPr="00826413">
              <w:rPr>
                <w:b/>
                <w:bCs/>
                <w:sz w:val="24"/>
                <w:szCs w:val="24"/>
              </w:rPr>
              <w:t>Title</w:t>
            </w:r>
          </w:p>
        </w:tc>
      </w:tr>
      <w:tr w:rsidR="00826413" w14:paraId="00AA0693" w14:textId="77777777" w:rsidTr="00826413">
        <w:tc>
          <w:tcPr>
            <w:tcW w:w="1129" w:type="dxa"/>
          </w:tcPr>
          <w:p w14:paraId="04698625" w14:textId="77777777" w:rsidR="00826413" w:rsidRPr="00826413" w:rsidRDefault="00826413" w:rsidP="00826413">
            <w:pPr>
              <w:pStyle w:val="ListParagraph"/>
              <w:numPr>
                <w:ilvl w:val="0"/>
                <w:numId w:val="22"/>
              </w:numPr>
              <w:spacing w:before="120" w:after="120"/>
              <w:rPr>
                <w:sz w:val="22"/>
                <w:szCs w:val="22"/>
              </w:rPr>
            </w:pPr>
            <w:bookmarkStart w:id="37" w:name="_Ref50109951"/>
          </w:p>
        </w:tc>
        <w:bookmarkEnd w:id="37"/>
        <w:tc>
          <w:tcPr>
            <w:tcW w:w="7087" w:type="dxa"/>
          </w:tcPr>
          <w:p w14:paraId="5F4BF95B" w14:textId="184236C1" w:rsidR="00826413" w:rsidRPr="00826413" w:rsidRDefault="00826413" w:rsidP="00643BCA">
            <w:pPr>
              <w:pStyle w:val="ListParagraph"/>
              <w:spacing w:before="120" w:after="120"/>
              <w:ind w:left="0" w:firstLine="0"/>
              <w:rPr>
                <w:sz w:val="22"/>
                <w:szCs w:val="22"/>
              </w:rPr>
            </w:pPr>
            <w:r w:rsidRPr="00826413">
              <w:rPr>
                <w:sz w:val="22"/>
                <w:szCs w:val="22"/>
              </w:rPr>
              <w:t>HSE, Safety Assessment Principles for Nuclear Facilities, 2014 Edition, Revision</w:t>
            </w:r>
            <w:r>
              <w:rPr>
                <w:sz w:val="22"/>
                <w:szCs w:val="22"/>
              </w:rPr>
              <w:t>, 1 January 2020</w:t>
            </w:r>
            <w:r w:rsidRPr="00826413">
              <w:rPr>
                <w:sz w:val="22"/>
                <w:szCs w:val="22"/>
              </w:rPr>
              <w:t>.</w:t>
            </w:r>
          </w:p>
        </w:tc>
      </w:tr>
      <w:tr w:rsidR="00826413" w14:paraId="5B8F36D2" w14:textId="77777777" w:rsidTr="00826413">
        <w:tc>
          <w:tcPr>
            <w:tcW w:w="1129" w:type="dxa"/>
          </w:tcPr>
          <w:p w14:paraId="15CAD686" w14:textId="77777777" w:rsidR="00826413" w:rsidRPr="00826413" w:rsidRDefault="00826413" w:rsidP="00826413">
            <w:pPr>
              <w:pStyle w:val="ListParagraph"/>
              <w:numPr>
                <w:ilvl w:val="0"/>
                <w:numId w:val="22"/>
              </w:numPr>
              <w:spacing w:before="120" w:after="120"/>
              <w:rPr>
                <w:sz w:val="22"/>
                <w:szCs w:val="22"/>
              </w:rPr>
            </w:pPr>
            <w:bookmarkStart w:id="38" w:name="_Ref50109898"/>
          </w:p>
        </w:tc>
        <w:bookmarkEnd w:id="38"/>
        <w:tc>
          <w:tcPr>
            <w:tcW w:w="7087" w:type="dxa"/>
          </w:tcPr>
          <w:p w14:paraId="6EAF5864" w14:textId="77777777" w:rsidR="00826413" w:rsidRPr="00826413" w:rsidRDefault="00826413" w:rsidP="00826413">
            <w:pPr>
              <w:pStyle w:val="ListParagraph"/>
              <w:spacing w:before="60"/>
              <w:ind w:left="33" w:right="1609" w:firstLine="0"/>
              <w:rPr>
                <w:sz w:val="22"/>
                <w:szCs w:val="22"/>
              </w:rPr>
            </w:pPr>
            <w:r w:rsidRPr="00826413">
              <w:rPr>
                <w:sz w:val="22"/>
                <w:szCs w:val="22"/>
              </w:rPr>
              <w:t>National Nuclear Security Administration (USA), Technical Bulletin 2014-1, Achieving Reasonable Conservatism in Nuclear Safety Analyses.</w:t>
            </w:r>
          </w:p>
          <w:p w14:paraId="21949119" w14:textId="57DEE9AA" w:rsidR="00826413" w:rsidRPr="00826413" w:rsidRDefault="00826413" w:rsidP="00826413">
            <w:pPr>
              <w:pStyle w:val="ListParagraph"/>
              <w:spacing w:before="120" w:after="120"/>
              <w:ind w:left="0" w:firstLine="0"/>
              <w:rPr>
                <w:sz w:val="22"/>
                <w:szCs w:val="22"/>
              </w:rPr>
            </w:pPr>
            <w:proofErr w:type="spellStart"/>
            <w:r w:rsidRPr="00826413">
              <w:rPr>
                <w:sz w:val="22"/>
                <w:szCs w:val="22"/>
              </w:rPr>
              <w:t>Kamiar</w:t>
            </w:r>
            <w:proofErr w:type="spellEnd"/>
            <w:r w:rsidRPr="00826413">
              <w:rPr>
                <w:spacing w:val="-1"/>
                <w:sz w:val="22"/>
                <w:szCs w:val="22"/>
              </w:rPr>
              <w:t xml:space="preserve"> </w:t>
            </w:r>
            <w:r w:rsidRPr="00826413">
              <w:rPr>
                <w:sz w:val="22"/>
                <w:szCs w:val="22"/>
              </w:rPr>
              <w:t>Jamali.</w:t>
            </w:r>
          </w:p>
        </w:tc>
      </w:tr>
      <w:tr w:rsidR="00826413" w14:paraId="678E4849" w14:textId="77777777" w:rsidTr="00826413">
        <w:tc>
          <w:tcPr>
            <w:tcW w:w="1129" w:type="dxa"/>
          </w:tcPr>
          <w:p w14:paraId="20370A78" w14:textId="77777777" w:rsidR="00826413" w:rsidRPr="00826413" w:rsidRDefault="00826413" w:rsidP="00826413">
            <w:pPr>
              <w:pStyle w:val="ListParagraph"/>
              <w:numPr>
                <w:ilvl w:val="0"/>
                <w:numId w:val="22"/>
              </w:numPr>
              <w:spacing w:before="120" w:after="120"/>
              <w:rPr>
                <w:sz w:val="22"/>
                <w:szCs w:val="22"/>
              </w:rPr>
            </w:pPr>
            <w:bookmarkStart w:id="39" w:name="_Ref50109662"/>
          </w:p>
        </w:tc>
        <w:bookmarkEnd w:id="39"/>
        <w:tc>
          <w:tcPr>
            <w:tcW w:w="7087" w:type="dxa"/>
          </w:tcPr>
          <w:p w14:paraId="7A99563C" w14:textId="26FDA8A3" w:rsidR="00826413" w:rsidRPr="00826413" w:rsidRDefault="00826413" w:rsidP="00643BCA">
            <w:pPr>
              <w:pStyle w:val="ListParagraph"/>
              <w:spacing w:before="120" w:after="120"/>
              <w:ind w:left="0" w:firstLine="0"/>
              <w:rPr>
                <w:sz w:val="22"/>
                <w:szCs w:val="22"/>
              </w:rPr>
            </w:pPr>
            <w:r w:rsidRPr="00826413">
              <w:rPr>
                <w:sz w:val="22"/>
                <w:szCs w:val="22"/>
              </w:rPr>
              <w:t>IAEA SSG-2, Deterministic Safety Analysis for Nuclear Power Plants, 2009.</w:t>
            </w:r>
          </w:p>
        </w:tc>
      </w:tr>
      <w:tr w:rsidR="00826413" w14:paraId="79FE32BE" w14:textId="77777777" w:rsidTr="00826413">
        <w:tc>
          <w:tcPr>
            <w:tcW w:w="1129" w:type="dxa"/>
          </w:tcPr>
          <w:p w14:paraId="58780889" w14:textId="77777777" w:rsidR="00826413" w:rsidRPr="00826413" w:rsidRDefault="00826413" w:rsidP="00826413">
            <w:pPr>
              <w:pStyle w:val="ListParagraph"/>
              <w:numPr>
                <w:ilvl w:val="0"/>
                <w:numId w:val="22"/>
              </w:numPr>
              <w:spacing w:before="120" w:after="120"/>
              <w:rPr>
                <w:sz w:val="22"/>
                <w:szCs w:val="22"/>
              </w:rPr>
            </w:pPr>
            <w:bookmarkStart w:id="40" w:name="_Ref50110074"/>
          </w:p>
        </w:tc>
        <w:bookmarkEnd w:id="40"/>
        <w:tc>
          <w:tcPr>
            <w:tcW w:w="7087" w:type="dxa"/>
          </w:tcPr>
          <w:p w14:paraId="5AFBA2E4" w14:textId="3DA9556F" w:rsidR="00826413" w:rsidRPr="00826413" w:rsidRDefault="00826413" w:rsidP="00826413">
            <w:pPr>
              <w:pStyle w:val="Heading3"/>
              <w:spacing w:before="60"/>
              <w:ind w:left="33" w:right="1073"/>
              <w:outlineLvl w:val="2"/>
              <w:rPr>
                <w:sz w:val="22"/>
                <w:szCs w:val="22"/>
              </w:rPr>
            </w:pPr>
            <w:r>
              <w:rPr>
                <w:sz w:val="22"/>
                <w:szCs w:val="22"/>
              </w:rPr>
              <w:t xml:space="preserve">The </w:t>
            </w:r>
            <w:r w:rsidRPr="00826413">
              <w:rPr>
                <w:sz w:val="22"/>
                <w:szCs w:val="22"/>
              </w:rPr>
              <w:t xml:space="preserve">UK Nuclear Industry </w:t>
            </w:r>
            <w:r>
              <w:rPr>
                <w:sz w:val="22"/>
                <w:szCs w:val="22"/>
              </w:rPr>
              <w:t xml:space="preserve">Good Practice </w:t>
            </w:r>
            <w:r w:rsidRPr="00826413">
              <w:rPr>
                <w:sz w:val="22"/>
                <w:szCs w:val="22"/>
              </w:rPr>
              <w:t>Guide</w:t>
            </w:r>
            <w:r>
              <w:rPr>
                <w:sz w:val="22"/>
                <w:szCs w:val="22"/>
              </w:rPr>
              <w:t xml:space="preserve"> to</w:t>
            </w:r>
            <w:r w:rsidRPr="00826413">
              <w:rPr>
                <w:sz w:val="22"/>
                <w:szCs w:val="22"/>
              </w:rPr>
              <w:t>, Conservative Exposure Durations for Unmitigated Worker Doses in Design Basis Analysis, Issue 2, March 2020. Alec Bounds.</w:t>
            </w:r>
          </w:p>
          <w:p w14:paraId="0FEC5ED1" w14:textId="2B9B8050" w:rsidR="00826413" w:rsidRPr="00826413" w:rsidRDefault="00826413" w:rsidP="00826413">
            <w:pPr>
              <w:pStyle w:val="ListParagraph"/>
              <w:spacing w:before="120" w:after="120"/>
              <w:ind w:left="0" w:firstLine="0"/>
              <w:rPr>
                <w:sz w:val="22"/>
                <w:szCs w:val="22"/>
              </w:rPr>
            </w:pPr>
            <w:r w:rsidRPr="00826413">
              <w:rPr>
                <w:sz w:val="22"/>
                <w:szCs w:val="22"/>
              </w:rPr>
              <w:t xml:space="preserve">Available on the Nuclear Institutes </w:t>
            </w:r>
            <w:r>
              <w:rPr>
                <w:sz w:val="22"/>
                <w:szCs w:val="22"/>
              </w:rPr>
              <w:t>w</w:t>
            </w:r>
            <w:r w:rsidRPr="00826413">
              <w:rPr>
                <w:sz w:val="22"/>
                <w:szCs w:val="22"/>
              </w:rPr>
              <w:t>ebsite.</w:t>
            </w:r>
          </w:p>
        </w:tc>
      </w:tr>
    </w:tbl>
    <w:p w14:paraId="62F451FB" w14:textId="77777777" w:rsidR="00643BCA" w:rsidRDefault="00643BCA" w:rsidP="00643BCA">
      <w:pPr>
        <w:pStyle w:val="ListParagraph"/>
        <w:widowControl/>
        <w:autoSpaceDE/>
        <w:autoSpaceDN/>
        <w:spacing w:before="120" w:after="120"/>
        <w:ind w:left="851" w:firstLine="0"/>
      </w:pPr>
    </w:p>
    <w:p w14:paraId="51FA0896" w14:textId="77777777" w:rsidR="00F60405" w:rsidRDefault="00F60405">
      <w:r>
        <w:br w:type="page"/>
      </w:r>
    </w:p>
    <w:p w14:paraId="00284CBF" w14:textId="77777777" w:rsidR="00F60405" w:rsidRPr="00295BC0" w:rsidRDefault="00F60405" w:rsidP="00826413">
      <w:pPr>
        <w:pStyle w:val="Heading1"/>
        <w:numPr>
          <w:ilvl w:val="0"/>
          <w:numId w:val="0"/>
        </w:numPr>
        <w:ind w:left="851"/>
      </w:pPr>
      <w:bookmarkStart w:id="41" w:name="_Toc408910527"/>
      <w:bookmarkStart w:id="42" w:name="_Ref499032728"/>
      <w:bookmarkStart w:id="43" w:name="_Ref499032740"/>
      <w:bookmarkStart w:id="44" w:name="_Ref525203474"/>
      <w:bookmarkStart w:id="45" w:name="_Toc23427409"/>
      <w:bookmarkStart w:id="46" w:name="_Ref50109695"/>
      <w:bookmarkStart w:id="47" w:name="_Ref50109731"/>
      <w:bookmarkStart w:id="48" w:name="_Ref50109737"/>
      <w:bookmarkStart w:id="49" w:name="_Ref50109742"/>
      <w:bookmarkStart w:id="50" w:name="_Toc50110459"/>
      <w:r w:rsidRPr="00295BC0">
        <w:lastRenderedPageBreak/>
        <w:t xml:space="preserve">Appendix </w:t>
      </w:r>
      <w:r>
        <w:t>A</w:t>
      </w:r>
      <w:bookmarkEnd w:id="41"/>
      <w:r>
        <w:t>:</w:t>
      </w:r>
      <w:r>
        <w:tab/>
      </w:r>
      <w:bookmarkEnd w:id="42"/>
      <w:bookmarkEnd w:id="43"/>
      <w:bookmarkEnd w:id="44"/>
      <w:bookmarkEnd w:id="45"/>
      <w:r>
        <w:t>Statistical Uncertainties</w:t>
      </w:r>
      <w:bookmarkEnd w:id="46"/>
      <w:bookmarkEnd w:id="47"/>
      <w:bookmarkEnd w:id="48"/>
      <w:bookmarkEnd w:id="49"/>
      <w:bookmarkEnd w:id="50"/>
    </w:p>
    <w:p w14:paraId="2514DE3B" w14:textId="77777777" w:rsidR="00C45964" w:rsidRDefault="0087786B" w:rsidP="00C45964">
      <w:pPr>
        <w:pStyle w:val="BodyText"/>
        <w:spacing w:before="120" w:after="120"/>
        <w:ind w:right="-7"/>
      </w:pPr>
      <w:r>
        <w:t>An individual parameter will typically have a statistical distribution of values.</w:t>
      </w:r>
    </w:p>
    <w:p w14:paraId="2C9E42AC" w14:textId="77777777" w:rsidR="00C45964" w:rsidRDefault="0087786B" w:rsidP="00C45964">
      <w:pPr>
        <w:pStyle w:val="BodyText"/>
        <w:spacing w:before="120" w:after="120"/>
        <w:ind w:right="-7"/>
      </w:pPr>
      <w:r>
        <w:t>This distribution is often significantly skewed, as in the diagram below, which shows two separate log-normal distributions that both have the same median value, but one distribution has greater uncertainty than the other.</w:t>
      </w:r>
      <w:r w:rsidR="00C45964">
        <w:t xml:space="preserve"> </w:t>
      </w:r>
      <w:r>
        <w:t xml:space="preserve"> Parameter distributions of both types are encountered in the nuclear industry. </w:t>
      </w:r>
      <w:r w:rsidR="00C45964">
        <w:t xml:space="preserve"> </w:t>
      </w:r>
      <w:r>
        <w:t>Thus</w:t>
      </w:r>
      <w:r w:rsidR="00C45964">
        <w:t>,</w:t>
      </w:r>
      <w:r>
        <w:t xml:space="preserve"> the high end of the distribution can be significant, such that the concept of a maximum value becomes almost meaningless.</w:t>
      </w:r>
    </w:p>
    <w:p w14:paraId="4E707C0D" w14:textId="77777777" w:rsidR="00C45964" w:rsidRDefault="0087786B" w:rsidP="00C45964">
      <w:pPr>
        <w:pStyle w:val="BodyText"/>
        <w:spacing w:before="120" w:after="120"/>
        <w:ind w:right="-7"/>
      </w:pPr>
      <w:r>
        <w:t xml:space="preserve">Of the 3 types of average, it is clear that the value most likely to be encountered (the mode) could be significantly optimistic compared to the mean. </w:t>
      </w:r>
      <w:r w:rsidR="00C45964">
        <w:t xml:space="preserve"> </w:t>
      </w:r>
      <w:r>
        <w:t xml:space="preserve">Of the three averages, the mean can be regarded by safety case practitioners as a more useful type of average for skew distributions, as its value increases towards higher percentiles of the underlying distribution with increasing levels of uncertainty (see diagram below). </w:t>
      </w:r>
    </w:p>
    <w:p w14:paraId="4C53E812" w14:textId="77777777" w:rsidR="00CF796F" w:rsidRDefault="00C45964" w:rsidP="00C45964">
      <w:pPr>
        <w:pStyle w:val="BodyText"/>
        <w:spacing w:before="120" w:after="120"/>
        <w:ind w:right="-7"/>
      </w:pPr>
      <w:r>
        <w:rPr>
          <w:noProof/>
        </w:rPr>
        <w:drawing>
          <wp:anchor distT="0" distB="0" distL="0" distR="0" simplePos="0" relativeHeight="251664896" behindDoc="0" locked="0" layoutInCell="1" allowOverlap="1" wp14:anchorId="5F36D40D" wp14:editId="5571D2A9">
            <wp:simplePos x="0" y="0"/>
            <wp:positionH relativeFrom="page">
              <wp:posOffset>1176655</wp:posOffset>
            </wp:positionH>
            <wp:positionV relativeFrom="paragraph">
              <wp:posOffset>551180</wp:posOffset>
            </wp:positionV>
            <wp:extent cx="4734556" cy="3505200"/>
            <wp:effectExtent l="0" t="0" r="0" b="0"/>
            <wp:wrapTopAndBottom/>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37" cstate="print"/>
                    <a:stretch>
                      <a:fillRect/>
                    </a:stretch>
                  </pic:blipFill>
                  <pic:spPr>
                    <a:xfrm>
                      <a:off x="0" y="0"/>
                      <a:ext cx="4734556" cy="3505200"/>
                    </a:xfrm>
                    <a:prstGeom prst="rect">
                      <a:avLst/>
                    </a:prstGeom>
                  </pic:spPr>
                </pic:pic>
              </a:graphicData>
            </a:graphic>
          </wp:anchor>
        </w:drawing>
      </w:r>
      <w:r w:rsidR="0087786B">
        <w:t>The mean takes account of all values, including values that may be considered ‘abnormal’.</w:t>
      </w:r>
    </w:p>
    <w:p w14:paraId="49FAE337" w14:textId="77777777" w:rsidR="00CF796F" w:rsidRPr="00C45964" w:rsidRDefault="00CF796F" w:rsidP="00C45964">
      <w:pPr>
        <w:pStyle w:val="BodyText"/>
        <w:spacing w:before="120" w:after="120"/>
        <w:ind w:right="1039"/>
      </w:pPr>
    </w:p>
    <w:p w14:paraId="38EB854E" w14:textId="77777777" w:rsidR="00CF796F" w:rsidRPr="00C45964" w:rsidRDefault="00CF796F" w:rsidP="00C45964">
      <w:pPr>
        <w:pStyle w:val="BodyText"/>
        <w:spacing w:before="120" w:after="120"/>
        <w:ind w:right="1039"/>
      </w:pPr>
    </w:p>
    <w:p w14:paraId="3E65D063" w14:textId="47D82906" w:rsidR="00CF796F" w:rsidRPr="00A03B28" w:rsidRDefault="0087786B" w:rsidP="00C45964">
      <w:pPr>
        <w:pStyle w:val="BodyText"/>
        <w:spacing w:before="120" w:after="120"/>
        <w:ind w:right="-7"/>
        <w:rPr>
          <w:color w:val="000000" w:themeColor="text1"/>
        </w:rPr>
      </w:pPr>
      <w:r w:rsidRPr="00A03B28">
        <w:rPr>
          <w:color w:val="000000" w:themeColor="text1"/>
        </w:rPr>
        <w:t xml:space="preserve">A real example of points in a skewed distribution is given in the section </w:t>
      </w:r>
      <w:r w:rsidR="00A03B28" w:rsidRPr="00A03B28">
        <w:rPr>
          <w:color w:val="000000" w:themeColor="text1"/>
        </w:rPr>
        <w:t>6.3</w:t>
      </w:r>
      <w:r w:rsidR="00C45964" w:rsidRPr="00A03B28">
        <w:rPr>
          <w:color w:val="000000" w:themeColor="text1"/>
        </w:rPr>
        <w:t xml:space="preserve"> </w:t>
      </w:r>
      <w:r w:rsidRPr="00A03B28">
        <w:rPr>
          <w:color w:val="000000" w:themeColor="text1"/>
        </w:rPr>
        <w:t xml:space="preserve">‘Achieving a </w:t>
      </w:r>
      <w:r w:rsidR="00C45964" w:rsidRPr="00A03B28">
        <w:rPr>
          <w:color w:val="000000" w:themeColor="text1"/>
        </w:rPr>
        <w:t>B</w:t>
      </w:r>
      <w:r w:rsidRPr="00A03B28">
        <w:rPr>
          <w:color w:val="000000" w:themeColor="text1"/>
        </w:rPr>
        <w:t xml:space="preserve">alance in </w:t>
      </w:r>
      <w:r w:rsidR="00C45964" w:rsidRPr="00A03B28">
        <w:rPr>
          <w:color w:val="000000" w:themeColor="text1"/>
        </w:rPr>
        <w:t>C</w:t>
      </w:r>
      <w:r w:rsidRPr="00A03B28">
        <w:rPr>
          <w:color w:val="000000" w:themeColor="text1"/>
        </w:rPr>
        <w:t xml:space="preserve">onsequence </w:t>
      </w:r>
      <w:r w:rsidR="00C45964" w:rsidRPr="00A03B28">
        <w:rPr>
          <w:color w:val="000000" w:themeColor="text1"/>
        </w:rPr>
        <w:t>A</w:t>
      </w:r>
      <w:r w:rsidRPr="00A03B28">
        <w:rPr>
          <w:color w:val="000000" w:themeColor="text1"/>
        </w:rPr>
        <w:t>ssessment’.</w:t>
      </w:r>
    </w:p>
    <w:p w14:paraId="62F831A4" w14:textId="4AD968D3" w:rsidR="00CF796F" w:rsidRDefault="0087786B" w:rsidP="00C45964">
      <w:pPr>
        <w:pStyle w:val="BodyText"/>
        <w:spacing w:before="120" w:after="120"/>
        <w:ind w:right="-7"/>
      </w:pPr>
      <w:r w:rsidRPr="00A03B28">
        <w:rPr>
          <w:color w:val="000000" w:themeColor="text1"/>
        </w:rPr>
        <w:t xml:space="preserve">The situation </w:t>
      </w:r>
      <w:r>
        <w:t>in safety cases is more complex than in the above diagram because parameters (and thus distributions of values of those parameters) are multiplied together.</w:t>
      </w:r>
      <w:r w:rsidR="00C45964">
        <w:t xml:space="preserve"> </w:t>
      </w:r>
      <w:r>
        <w:t xml:space="preserve"> If the individual distributions are normally distributed, the product of the distributions will be log-normally distributed.</w:t>
      </w:r>
      <w:r w:rsidR="00C45964">
        <w:t xml:space="preserve"> </w:t>
      </w:r>
      <w:r>
        <w:t xml:space="preserve"> Furthermore, if the individual parameters are log-normally distributed, the product of those distributions will also be log- normally distributed, but with a higher level of uncertainty (giving a longer </w:t>
      </w:r>
      <w:r w:rsidRPr="00A03B28">
        <w:rPr>
          <w:color w:val="000000" w:themeColor="text1"/>
        </w:rPr>
        <w:t xml:space="preserve">tail) - see Reference </w:t>
      </w:r>
      <w:r w:rsidR="00A03B28" w:rsidRPr="00A03B28">
        <w:rPr>
          <w:color w:val="000000" w:themeColor="text1"/>
        </w:rPr>
        <w:fldChar w:fldCharType="begin"/>
      </w:r>
      <w:r w:rsidR="00A03B28" w:rsidRPr="00A03B28">
        <w:rPr>
          <w:color w:val="000000" w:themeColor="text1"/>
        </w:rPr>
        <w:instrText xml:space="preserve"> REF _Ref50109898 \r \h </w:instrText>
      </w:r>
      <w:r w:rsidR="00A03B28" w:rsidRPr="00A03B28">
        <w:rPr>
          <w:color w:val="000000" w:themeColor="text1"/>
        </w:rPr>
      </w:r>
      <w:r w:rsidR="00A03B28" w:rsidRPr="00A03B28">
        <w:rPr>
          <w:color w:val="000000" w:themeColor="text1"/>
        </w:rPr>
        <w:fldChar w:fldCharType="separate"/>
      </w:r>
      <w:r w:rsidR="00A03B28" w:rsidRPr="00A03B28">
        <w:rPr>
          <w:color w:val="000000" w:themeColor="text1"/>
        </w:rPr>
        <w:t>2</w:t>
      </w:r>
      <w:r w:rsidR="00A03B28" w:rsidRPr="00A03B28">
        <w:rPr>
          <w:color w:val="000000" w:themeColor="text1"/>
        </w:rPr>
        <w:fldChar w:fldCharType="end"/>
      </w:r>
      <w:r w:rsidRPr="00A03B28">
        <w:rPr>
          <w:color w:val="000000" w:themeColor="text1"/>
        </w:rPr>
        <w:t xml:space="preserve">. </w:t>
      </w:r>
      <w:r w:rsidR="00C45964" w:rsidRPr="00A03B28">
        <w:rPr>
          <w:color w:val="000000" w:themeColor="text1"/>
        </w:rPr>
        <w:t xml:space="preserve"> </w:t>
      </w:r>
      <w:r w:rsidRPr="00A03B28">
        <w:rPr>
          <w:color w:val="000000" w:themeColor="text1"/>
        </w:rPr>
        <w:t>Thus</w:t>
      </w:r>
      <w:r w:rsidR="00C45964" w:rsidRPr="00A03B28">
        <w:rPr>
          <w:color w:val="000000" w:themeColor="text1"/>
        </w:rPr>
        <w:t>,</w:t>
      </w:r>
      <w:r w:rsidRPr="00A03B28">
        <w:rPr>
          <w:color w:val="000000" w:themeColor="text1"/>
        </w:rPr>
        <w:t xml:space="preserve"> log</w:t>
      </w:r>
      <w:r>
        <w:t>-normal distributions are likely to occur in dose assessments.</w:t>
      </w:r>
    </w:p>
    <w:p w14:paraId="66954BF3" w14:textId="6CE98804" w:rsidR="00CF796F" w:rsidRPr="00C45964" w:rsidRDefault="0087786B" w:rsidP="00C45964">
      <w:pPr>
        <w:pStyle w:val="BodyText"/>
        <w:spacing w:before="120" w:after="120"/>
        <w:ind w:right="-7"/>
      </w:pPr>
      <w:r w:rsidRPr="00A03B28">
        <w:rPr>
          <w:color w:val="000000" w:themeColor="text1"/>
        </w:rPr>
        <w:t xml:space="preserve">Reference </w:t>
      </w:r>
      <w:r w:rsidR="00A03B28" w:rsidRPr="00A03B28">
        <w:rPr>
          <w:color w:val="000000" w:themeColor="text1"/>
        </w:rPr>
        <w:fldChar w:fldCharType="begin"/>
      </w:r>
      <w:r w:rsidR="00A03B28" w:rsidRPr="00A03B28">
        <w:rPr>
          <w:color w:val="000000" w:themeColor="text1"/>
        </w:rPr>
        <w:instrText xml:space="preserve"> REF _Ref50109898 \r \h </w:instrText>
      </w:r>
      <w:r w:rsidR="00A03B28" w:rsidRPr="00A03B28">
        <w:rPr>
          <w:color w:val="000000" w:themeColor="text1"/>
        </w:rPr>
      </w:r>
      <w:r w:rsidR="00A03B28" w:rsidRPr="00A03B28">
        <w:rPr>
          <w:color w:val="000000" w:themeColor="text1"/>
        </w:rPr>
        <w:fldChar w:fldCharType="separate"/>
      </w:r>
      <w:r w:rsidR="00A03B28" w:rsidRPr="00A03B28">
        <w:rPr>
          <w:color w:val="000000" w:themeColor="text1"/>
        </w:rPr>
        <w:t>2</w:t>
      </w:r>
      <w:r w:rsidR="00A03B28" w:rsidRPr="00A03B28">
        <w:rPr>
          <w:color w:val="000000" w:themeColor="text1"/>
        </w:rPr>
        <w:fldChar w:fldCharType="end"/>
      </w:r>
      <w:r w:rsidRPr="00A03B28">
        <w:rPr>
          <w:color w:val="000000" w:themeColor="text1"/>
        </w:rPr>
        <w:t xml:space="preserve"> analyses over</w:t>
      </w:r>
      <w:r>
        <w:t xml:space="preserve">-conservatism from a mathematical perspective. </w:t>
      </w:r>
      <w:r w:rsidR="00C45964">
        <w:t xml:space="preserve"> </w:t>
      </w:r>
      <w:r>
        <w:t>It states that conservatism in nuclear safety analyses can lead to extreme conservatism</w:t>
      </w:r>
      <w:r w:rsidR="00C45964">
        <w:t xml:space="preserve"> w</w:t>
      </w:r>
      <w:r>
        <w:t>ithout the knowledge of the analyst.</w:t>
      </w:r>
      <w:r w:rsidR="00C45964">
        <w:t xml:space="preserve"> </w:t>
      </w:r>
      <w:r>
        <w:t xml:space="preserve"> The divergence to extreme conservatism occurs rapidly. </w:t>
      </w:r>
      <w:r w:rsidR="00C45964">
        <w:t xml:space="preserve"> </w:t>
      </w:r>
      <w:r>
        <w:t xml:space="preserve">This phenomenon is often beyond the expert analysts’ intuitive feeling, but it can be demonstrated mathematically. </w:t>
      </w:r>
      <w:r w:rsidR="00C45964">
        <w:t xml:space="preserve"> </w:t>
      </w:r>
      <w:r>
        <w:t xml:space="preserve">The </w:t>
      </w:r>
      <w:r>
        <w:lastRenderedPageBreak/>
        <w:t>upper-bound is generally associated with the overall 95</w:t>
      </w:r>
      <w:r w:rsidRPr="00C45964">
        <w:t>th</w:t>
      </w:r>
      <w:r>
        <w:t xml:space="preserve"> percentile of the output when parameter</w:t>
      </w:r>
      <w:r w:rsidRPr="00C45964">
        <w:t xml:space="preserve"> </w:t>
      </w:r>
      <w:r>
        <w:t>uncertainties are fully propagated in a mathematical model.</w:t>
      </w:r>
      <w:r w:rsidR="00C45964">
        <w:t xml:space="preserve"> </w:t>
      </w:r>
      <w:r>
        <w:t xml:space="preserve"> It is shown that the product of the upper-bounds can be orders of magnitude above the actual upper</w:t>
      </w:r>
      <w:r w:rsidR="00C45964">
        <w:t>-</w:t>
      </w:r>
      <w:r>
        <w:t xml:space="preserve">bound of the output. </w:t>
      </w:r>
      <w:r w:rsidR="00C45964">
        <w:t xml:space="preserve"> </w:t>
      </w:r>
      <w:r>
        <w:t xml:space="preserve">In other words, </w:t>
      </w:r>
      <w:r w:rsidRPr="00C45964">
        <w:rPr>
          <w:b/>
          <w:bCs/>
        </w:rPr>
        <w:t>combining conservative values of multiple input values can easily lead to a ridiculously unrealistic output value, without the knowledge of the analyst.</w:t>
      </w:r>
    </w:p>
    <w:sectPr w:rsidR="00CF796F" w:rsidRPr="00C45964" w:rsidSect="00DD4598">
      <w:footerReference w:type="default" r:id="rId38"/>
      <w:pgSz w:w="11900" w:h="16840"/>
      <w:pgMar w:top="1418" w:right="1134" w:bottom="1418" w:left="1134" w:header="68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A261D" w14:textId="77777777" w:rsidR="00303E2A" w:rsidRDefault="00303E2A">
      <w:r>
        <w:separator/>
      </w:r>
    </w:p>
  </w:endnote>
  <w:endnote w:type="continuationSeparator" w:id="0">
    <w:p w14:paraId="565F6B70" w14:textId="77777777" w:rsidR="00303E2A" w:rsidRDefault="003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04D34" w14:textId="77777777" w:rsidR="00EF0C1B" w:rsidRPr="00AD6AA4" w:rsidRDefault="00EF0C1B" w:rsidP="00AD6AA4">
    <w:pPr>
      <w:pStyle w:val="Footer"/>
      <w:tabs>
        <w:tab w:val="clear" w:pos="9026"/>
        <w:tab w:val="right" w:pos="9072"/>
      </w:tabs>
      <w:rPr>
        <w:rFonts w:ascii="Times New Roman" w:hAnsi="Times New Roman" w:cs="Times New Roman"/>
        <w:sz w:val="24"/>
        <w:szCs w:val="24"/>
      </w:rPr>
    </w:pPr>
    <w:r w:rsidRPr="00AD6AA4">
      <w:rPr>
        <w:rFonts w:ascii="Times New Roman" w:hAnsi="Times New Roman" w:cs="Times New Roman"/>
        <w:sz w:val="24"/>
        <w:szCs w:val="24"/>
      </w:rPr>
      <w:t>Appropriate Conservatism in Safety Cases</w:t>
    </w:r>
    <w:r w:rsidRPr="00AD6AA4">
      <w:rPr>
        <w:rFonts w:ascii="Times New Roman" w:hAnsi="Times New Roman" w:cs="Times New Roman"/>
        <w:sz w:val="24"/>
        <w:szCs w:val="24"/>
      </w:rPr>
      <w:tab/>
    </w:r>
    <w:r w:rsidRPr="00AD6AA4">
      <w:rPr>
        <w:rFonts w:ascii="Times New Roman" w:hAnsi="Times New Roman" w:cs="Times New Roman"/>
        <w:color w:val="FF0000"/>
        <w:sz w:val="24"/>
        <w:szCs w:val="24"/>
      </w:rPr>
      <w:tab/>
    </w:r>
    <w:r w:rsidR="00AD6AA4" w:rsidRPr="00AD6AA4">
      <w:rPr>
        <w:rFonts w:ascii="Times New Roman" w:hAnsi="Times New Roman" w:cs="Times New Roman"/>
        <w:sz w:val="24"/>
        <w:szCs w:val="24"/>
      </w:rPr>
      <w:t xml:space="preserve">Page </w:t>
    </w:r>
    <w:r w:rsidR="00AD6AA4" w:rsidRPr="00AD6AA4">
      <w:rPr>
        <w:rFonts w:ascii="Times New Roman" w:hAnsi="Times New Roman" w:cs="Times New Roman"/>
        <w:b/>
        <w:bCs/>
        <w:sz w:val="24"/>
        <w:szCs w:val="24"/>
      </w:rPr>
      <w:fldChar w:fldCharType="begin"/>
    </w:r>
    <w:r w:rsidR="00AD6AA4" w:rsidRPr="00AD6AA4">
      <w:rPr>
        <w:rFonts w:ascii="Times New Roman" w:hAnsi="Times New Roman" w:cs="Times New Roman"/>
        <w:b/>
        <w:bCs/>
        <w:sz w:val="24"/>
        <w:szCs w:val="24"/>
      </w:rPr>
      <w:instrText xml:space="preserve"> PAGE </w:instrText>
    </w:r>
    <w:r w:rsidR="00AD6AA4" w:rsidRPr="00AD6AA4">
      <w:rPr>
        <w:rFonts w:ascii="Times New Roman" w:hAnsi="Times New Roman" w:cs="Times New Roman"/>
        <w:b/>
        <w:bCs/>
        <w:sz w:val="24"/>
        <w:szCs w:val="24"/>
      </w:rPr>
      <w:fldChar w:fldCharType="separate"/>
    </w:r>
    <w:r w:rsidR="00AD6AA4" w:rsidRPr="00AD6AA4">
      <w:rPr>
        <w:rFonts w:ascii="Times New Roman" w:hAnsi="Times New Roman" w:cs="Times New Roman"/>
        <w:b/>
        <w:bCs/>
        <w:sz w:val="24"/>
        <w:szCs w:val="24"/>
      </w:rPr>
      <w:t>1</w:t>
    </w:r>
    <w:r w:rsidR="00AD6AA4" w:rsidRPr="00AD6AA4">
      <w:rPr>
        <w:rFonts w:ascii="Times New Roman" w:hAnsi="Times New Roman" w:cs="Times New Roman"/>
        <w:b/>
        <w:bCs/>
        <w:sz w:val="24"/>
        <w:szCs w:val="24"/>
      </w:rPr>
      <w:fldChar w:fldCharType="end"/>
    </w:r>
    <w:r w:rsidR="00AD6AA4" w:rsidRPr="00AD6AA4">
      <w:rPr>
        <w:rFonts w:ascii="Times New Roman" w:hAnsi="Times New Roman" w:cs="Times New Roman"/>
        <w:sz w:val="24"/>
        <w:szCs w:val="24"/>
      </w:rPr>
      <w:t xml:space="preserve"> of </w:t>
    </w:r>
    <w:r w:rsidR="00AD6AA4" w:rsidRPr="00AD6AA4">
      <w:rPr>
        <w:rFonts w:ascii="Times New Roman" w:hAnsi="Times New Roman" w:cs="Times New Roman"/>
        <w:b/>
        <w:bCs/>
        <w:sz w:val="24"/>
        <w:szCs w:val="24"/>
      </w:rPr>
      <w:fldChar w:fldCharType="begin"/>
    </w:r>
    <w:r w:rsidR="00AD6AA4" w:rsidRPr="00AD6AA4">
      <w:rPr>
        <w:rFonts w:ascii="Times New Roman" w:hAnsi="Times New Roman" w:cs="Times New Roman"/>
        <w:b/>
        <w:bCs/>
        <w:sz w:val="24"/>
        <w:szCs w:val="24"/>
      </w:rPr>
      <w:instrText xml:space="preserve"> NUMPAGES  </w:instrText>
    </w:r>
    <w:r w:rsidR="00AD6AA4" w:rsidRPr="00AD6AA4">
      <w:rPr>
        <w:rFonts w:ascii="Times New Roman" w:hAnsi="Times New Roman" w:cs="Times New Roman"/>
        <w:b/>
        <w:bCs/>
        <w:sz w:val="24"/>
        <w:szCs w:val="24"/>
      </w:rPr>
      <w:fldChar w:fldCharType="separate"/>
    </w:r>
    <w:r w:rsidR="00AD6AA4" w:rsidRPr="00AD6AA4">
      <w:rPr>
        <w:rFonts w:ascii="Times New Roman" w:hAnsi="Times New Roman" w:cs="Times New Roman"/>
        <w:b/>
        <w:bCs/>
        <w:sz w:val="24"/>
        <w:szCs w:val="24"/>
      </w:rPr>
      <w:t>30</w:t>
    </w:r>
    <w:r w:rsidR="00AD6AA4" w:rsidRPr="00AD6AA4">
      <w:rPr>
        <w:rFonts w:ascii="Times New Roman" w:hAnsi="Times New Roman" w:cs="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C43E4" w14:textId="77777777" w:rsidR="00EF0C1B" w:rsidRPr="00AD6AA4" w:rsidRDefault="00AD6AA4" w:rsidP="00313383">
    <w:pPr>
      <w:pStyle w:val="Footer"/>
      <w:tabs>
        <w:tab w:val="clear" w:pos="9026"/>
        <w:tab w:val="right" w:pos="9072"/>
      </w:tabs>
      <w:rPr>
        <w:rFonts w:ascii="Times New Roman" w:hAnsi="Times New Roman" w:cs="Times New Roman"/>
        <w:sz w:val="24"/>
        <w:szCs w:val="24"/>
      </w:rPr>
    </w:pPr>
    <w:r w:rsidRPr="00AD6AA4">
      <w:rPr>
        <w:rFonts w:ascii="Times New Roman" w:hAnsi="Times New Roman" w:cs="Times New Roman"/>
        <w:sz w:val="24"/>
        <w:szCs w:val="24"/>
      </w:rPr>
      <w:t>Appropriate Conservatism in Safety Cases</w:t>
    </w:r>
    <w:r w:rsidRPr="00AD6AA4">
      <w:rPr>
        <w:rFonts w:ascii="Times New Roman" w:hAnsi="Times New Roman" w:cs="Times New Roman"/>
        <w:sz w:val="24"/>
        <w:szCs w:val="24"/>
      </w:rPr>
      <w:tab/>
    </w:r>
    <w:r w:rsidRPr="00AD6AA4">
      <w:rPr>
        <w:rFonts w:ascii="Times New Roman" w:hAnsi="Times New Roman" w:cs="Times New Roman"/>
        <w:color w:val="FF0000"/>
        <w:sz w:val="24"/>
        <w:szCs w:val="24"/>
      </w:rPr>
      <w:tab/>
    </w:r>
    <w:r w:rsidRPr="00AD6AA4">
      <w:rPr>
        <w:rFonts w:ascii="Times New Roman" w:hAnsi="Times New Roman" w:cs="Times New Roman"/>
        <w:sz w:val="24"/>
        <w:szCs w:val="24"/>
      </w:rPr>
      <w:t xml:space="preserve">Page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PAGE </w:instrText>
    </w:r>
    <w:r w:rsidRPr="00AD6AA4">
      <w:rPr>
        <w:rFonts w:ascii="Times New Roman" w:hAnsi="Times New Roman" w:cs="Times New Roman"/>
        <w:b/>
        <w:bCs/>
        <w:sz w:val="24"/>
        <w:szCs w:val="24"/>
      </w:rPr>
      <w:fldChar w:fldCharType="separate"/>
    </w:r>
    <w:r>
      <w:rPr>
        <w:rFonts w:ascii="Times New Roman" w:hAnsi="Times New Roman" w:cs="Times New Roman"/>
        <w:b/>
        <w:bCs/>
        <w:sz w:val="24"/>
        <w:szCs w:val="24"/>
      </w:rPr>
      <w:t>3</w:t>
    </w:r>
    <w:r w:rsidRPr="00AD6AA4">
      <w:rPr>
        <w:rFonts w:ascii="Times New Roman" w:hAnsi="Times New Roman" w:cs="Times New Roman"/>
        <w:b/>
        <w:bCs/>
        <w:sz w:val="24"/>
        <w:szCs w:val="24"/>
      </w:rPr>
      <w:fldChar w:fldCharType="end"/>
    </w:r>
    <w:r w:rsidRPr="00AD6AA4">
      <w:rPr>
        <w:rFonts w:ascii="Times New Roman" w:hAnsi="Times New Roman" w:cs="Times New Roman"/>
        <w:sz w:val="24"/>
        <w:szCs w:val="24"/>
      </w:rPr>
      <w:t xml:space="preserve"> of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NUMPAGES  </w:instrText>
    </w:r>
    <w:r w:rsidRPr="00AD6AA4">
      <w:rPr>
        <w:rFonts w:ascii="Times New Roman" w:hAnsi="Times New Roman" w:cs="Times New Roman"/>
        <w:b/>
        <w:bCs/>
        <w:sz w:val="24"/>
        <w:szCs w:val="24"/>
      </w:rPr>
      <w:fldChar w:fldCharType="separate"/>
    </w:r>
    <w:r>
      <w:rPr>
        <w:rFonts w:ascii="Times New Roman" w:hAnsi="Times New Roman" w:cs="Times New Roman"/>
        <w:b/>
        <w:bCs/>
        <w:sz w:val="24"/>
        <w:szCs w:val="24"/>
      </w:rPr>
      <w:t>27</w:t>
    </w:r>
    <w:r w:rsidRPr="00AD6AA4">
      <w:rPr>
        <w:rFonts w:ascii="Times New Roman" w:hAnsi="Times New Roman" w:cs="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86E45" w14:textId="77777777" w:rsidR="00EF0C1B" w:rsidRPr="00AD6AA4" w:rsidRDefault="00AD6AA4" w:rsidP="00313383">
    <w:pPr>
      <w:pStyle w:val="Footer"/>
      <w:tabs>
        <w:tab w:val="clear" w:pos="9026"/>
        <w:tab w:val="right" w:pos="9072"/>
      </w:tabs>
      <w:rPr>
        <w:rFonts w:ascii="Times New Roman" w:hAnsi="Times New Roman" w:cs="Times New Roman"/>
        <w:sz w:val="24"/>
        <w:szCs w:val="24"/>
      </w:rPr>
    </w:pPr>
    <w:r w:rsidRPr="00AD6AA4">
      <w:rPr>
        <w:rFonts w:ascii="Times New Roman" w:hAnsi="Times New Roman" w:cs="Times New Roman"/>
        <w:sz w:val="24"/>
        <w:szCs w:val="24"/>
      </w:rPr>
      <w:t>Appropriate Conservatism in Safety Cases</w:t>
    </w:r>
    <w:r w:rsidRPr="00AD6AA4">
      <w:rPr>
        <w:rFonts w:ascii="Times New Roman" w:hAnsi="Times New Roman" w:cs="Times New Roman"/>
        <w:sz w:val="24"/>
        <w:szCs w:val="24"/>
      </w:rPr>
      <w:tab/>
    </w:r>
    <w:r w:rsidRPr="00AD6AA4">
      <w:rPr>
        <w:rFonts w:ascii="Times New Roman" w:hAnsi="Times New Roman" w:cs="Times New Roman"/>
        <w:color w:val="FF0000"/>
        <w:sz w:val="24"/>
        <w:szCs w:val="24"/>
      </w:rPr>
      <w:tab/>
    </w:r>
    <w:r w:rsidRPr="00AD6AA4">
      <w:rPr>
        <w:rFonts w:ascii="Times New Roman" w:hAnsi="Times New Roman" w:cs="Times New Roman"/>
        <w:sz w:val="24"/>
        <w:szCs w:val="24"/>
      </w:rPr>
      <w:t xml:space="preserve">Page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PAGE </w:instrText>
    </w:r>
    <w:r w:rsidRPr="00AD6AA4">
      <w:rPr>
        <w:rFonts w:ascii="Times New Roman" w:hAnsi="Times New Roman" w:cs="Times New Roman"/>
        <w:b/>
        <w:bCs/>
        <w:sz w:val="24"/>
        <w:szCs w:val="24"/>
      </w:rPr>
      <w:fldChar w:fldCharType="separate"/>
    </w:r>
    <w:r>
      <w:rPr>
        <w:rFonts w:ascii="Times New Roman" w:hAnsi="Times New Roman"/>
        <w:b/>
        <w:bCs/>
        <w:sz w:val="24"/>
        <w:szCs w:val="24"/>
      </w:rPr>
      <w:t>1</w:t>
    </w:r>
    <w:r w:rsidRPr="00AD6AA4">
      <w:rPr>
        <w:rFonts w:ascii="Times New Roman" w:hAnsi="Times New Roman" w:cs="Times New Roman"/>
        <w:b/>
        <w:bCs/>
        <w:sz w:val="24"/>
        <w:szCs w:val="24"/>
      </w:rPr>
      <w:fldChar w:fldCharType="end"/>
    </w:r>
    <w:r w:rsidRPr="00AD6AA4">
      <w:rPr>
        <w:rFonts w:ascii="Times New Roman" w:hAnsi="Times New Roman" w:cs="Times New Roman"/>
        <w:sz w:val="24"/>
        <w:szCs w:val="24"/>
      </w:rPr>
      <w:t xml:space="preserve"> of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NUMPAGES  </w:instrText>
    </w:r>
    <w:r w:rsidRPr="00AD6AA4">
      <w:rPr>
        <w:rFonts w:ascii="Times New Roman" w:hAnsi="Times New Roman" w:cs="Times New Roman"/>
        <w:b/>
        <w:bCs/>
        <w:sz w:val="24"/>
        <w:szCs w:val="24"/>
      </w:rPr>
      <w:fldChar w:fldCharType="separate"/>
    </w:r>
    <w:r>
      <w:rPr>
        <w:rFonts w:ascii="Times New Roman" w:hAnsi="Times New Roman"/>
        <w:b/>
        <w:bCs/>
        <w:sz w:val="24"/>
        <w:szCs w:val="24"/>
      </w:rPr>
      <w:t>27</w:t>
    </w:r>
    <w:r w:rsidRPr="00AD6AA4">
      <w:rPr>
        <w:rFonts w:ascii="Times New Roman" w:hAnsi="Times New Roman" w:cs="Times New Roman"/>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525E" w14:textId="77777777" w:rsidR="00AD6AA4" w:rsidRPr="00AD6AA4" w:rsidRDefault="00AD6AA4" w:rsidP="00E20275">
    <w:pPr>
      <w:pStyle w:val="Footer"/>
      <w:tabs>
        <w:tab w:val="clear" w:pos="9026"/>
        <w:tab w:val="right" w:pos="9072"/>
      </w:tabs>
      <w:rPr>
        <w:rFonts w:ascii="Times New Roman" w:hAnsi="Times New Roman" w:cs="Times New Roman"/>
        <w:sz w:val="24"/>
        <w:szCs w:val="24"/>
      </w:rPr>
    </w:pPr>
    <w:r w:rsidRPr="00AD6AA4">
      <w:rPr>
        <w:rFonts w:ascii="Times New Roman" w:hAnsi="Times New Roman" w:cs="Times New Roman"/>
        <w:sz w:val="24"/>
        <w:szCs w:val="24"/>
      </w:rPr>
      <w:t>Appropriate Conservatism in Safety Cases</w:t>
    </w:r>
    <w:r w:rsidRPr="00AD6AA4">
      <w:rPr>
        <w:rFonts w:ascii="Times New Roman" w:hAnsi="Times New Roman" w:cs="Times New Roman"/>
        <w:sz w:val="24"/>
        <w:szCs w:val="24"/>
      </w:rPr>
      <w:tab/>
    </w:r>
    <w:r w:rsidRPr="00AD6AA4">
      <w:rPr>
        <w:rFonts w:ascii="Times New Roman" w:hAnsi="Times New Roman" w:cs="Times New Roman"/>
        <w:color w:val="FF0000"/>
        <w:sz w:val="24"/>
        <w:szCs w:val="24"/>
      </w:rPr>
      <w:tab/>
    </w:r>
    <w:r w:rsidRPr="00AD6AA4">
      <w:rPr>
        <w:rFonts w:ascii="Times New Roman" w:hAnsi="Times New Roman" w:cs="Times New Roman"/>
        <w:sz w:val="24"/>
        <w:szCs w:val="24"/>
      </w:rPr>
      <w:t xml:space="preserve">Page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PAGE </w:instrText>
    </w:r>
    <w:r w:rsidRPr="00AD6AA4">
      <w:rPr>
        <w:rFonts w:ascii="Times New Roman" w:hAnsi="Times New Roman" w:cs="Times New Roman"/>
        <w:b/>
        <w:bCs/>
        <w:sz w:val="24"/>
        <w:szCs w:val="24"/>
      </w:rPr>
      <w:fldChar w:fldCharType="separate"/>
    </w:r>
    <w:r>
      <w:rPr>
        <w:rFonts w:ascii="Times New Roman" w:hAnsi="Times New Roman" w:cs="Times New Roman"/>
        <w:b/>
        <w:bCs/>
        <w:sz w:val="24"/>
        <w:szCs w:val="24"/>
      </w:rPr>
      <w:t>6</w:t>
    </w:r>
    <w:r w:rsidRPr="00AD6AA4">
      <w:rPr>
        <w:rFonts w:ascii="Times New Roman" w:hAnsi="Times New Roman" w:cs="Times New Roman"/>
        <w:b/>
        <w:bCs/>
        <w:sz w:val="24"/>
        <w:szCs w:val="24"/>
      </w:rPr>
      <w:fldChar w:fldCharType="end"/>
    </w:r>
    <w:r w:rsidRPr="00AD6AA4">
      <w:rPr>
        <w:rFonts w:ascii="Times New Roman" w:hAnsi="Times New Roman" w:cs="Times New Roman"/>
        <w:sz w:val="24"/>
        <w:szCs w:val="24"/>
      </w:rPr>
      <w:t xml:space="preserve"> of </w:t>
    </w:r>
    <w:r w:rsidRPr="00AD6AA4">
      <w:rPr>
        <w:rFonts w:ascii="Times New Roman" w:hAnsi="Times New Roman" w:cs="Times New Roman"/>
        <w:b/>
        <w:bCs/>
        <w:sz w:val="24"/>
        <w:szCs w:val="24"/>
      </w:rPr>
      <w:fldChar w:fldCharType="begin"/>
    </w:r>
    <w:r w:rsidRPr="00AD6AA4">
      <w:rPr>
        <w:rFonts w:ascii="Times New Roman" w:hAnsi="Times New Roman" w:cs="Times New Roman"/>
        <w:b/>
        <w:bCs/>
        <w:sz w:val="24"/>
        <w:szCs w:val="24"/>
      </w:rPr>
      <w:instrText xml:space="preserve"> NUMPAGES  </w:instrText>
    </w:r>
    <w:r w:rsidRPr="00AD6AA4">
      <w:rPr>
        <w:rFonts w:ascii="Times New Roman" w:hAnsi="Times New Roman" w:cs="Times New Roman"/>
        <w:b/>
        <w:bCs/>
        <w:sz w:val="24"/>
        <w:szCs w:val="24"/>
      </w:rPr>
      <w:fldChar w:fldCharType="separate"/>
    </w:r>
    <w:r>
      <w:rPr>
        <w:rFonts w:ascii="Times New Roman" w:hAnsi="Times New Roman" w:cs="Times New Roman"/>
        <w:b/>
        <w:bCs/>
        <w:sz w:val="24"/>
        <w:szCs w:val="24"/>
      </w:rPr>
      <w:t>27</w:t>
    </w:r>
    <w:r w:rsidRPr="00AD6AA4">
      <w:rPr>
        <w:rFonts w:ascii="Times New Roman" w:hAnsi="Times New Roman" w:cs="Times New Roman"/>
        <w:b/>
        <w:bCs/>
        <w:sz w:val="24"/>
        <w:szCs w:val="24"/>
      </w:rPr>
      <w:fldChar w:fldCharType="end"/>
    </w:r>
  </w:p>
  <w:p w14:paraId="424FA229" w14:textId="77777777" w:rsidR="00EF0C1B" w:rsidRDefault="00EF0C1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8D28F" w14:textId="77777777" w:rsidR="00303E2A" w:rsidRDefault="00303E2A">
      <w:r>
        <w:separator/>
      </w:r>
    </w:p>
  </w:footnote>
  <w:footnote w:type="continuationSeparator" w:id="0">
    <w:p w14:paraId="44CD81AC" w14:textId="77777777" w:rsidR="00303E2A" w:rsidRDefault="0030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DFAB" w14:textId="77777777" w:rsidR="00EF0C1B" w:rsidRPr="002F0F07" w:rsidRDefault="00EF0C1B" w:rsidP="00DD4598">
    <w:pPr>
      <w:pStyle w:val="Header"/>
      <w:tabs>
        <w:tab w:val="clear" w:pos="9026"/>
        <w:tab w:val="left" w:pos="9632"/>
      </w:tabs>
      <w:jc w:val="right"/>
      <w:rPr>
        <w:rFonts w:ascii="Times New Roman" w:hAnsi="Times New Roman" w:cs="Times New Roman"/>
        <w:sz w:val="24"/>
        <w:szCs w:val="24"/>
      </w:rPr>
    </w:pPr>
    <w:r w:rsidRPr="002F0F07">
      <w:rPr>
        <w:rFonts w:ascii="Times New Roman" w:hAnsi="Times New Roman" w:cs="Times New Roman"/>
        <w:sz w:val="24"/>
        <w:szCs w:val="24"/>
      </w:rPr>
      <w:t>Issue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D6219" w14:textId="77777777" w:rsidR="00EF0C1B" w:rsidRDefault="00EF0C1B" w:rsidP="00372E1A">
    <w:pPr>
      <w:pStyle w:val="Header"/>
      <w:jc w:val="right"/>
    </w:pPr>
    <w:r>
      <w:t>Issue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7224" w14:textId="77777777" w:rsidR="00EF0C1B" w:rsidRDefault="00EF0C1B" w:rsidP="00372E1A">
    <w:pPr>
      <w:pStyle w:val="Header"/>
      <w:jc w:val="right"/>
    </w:pPr>
    <w:r>
      <w:t>Issue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3046"/>
    <w:multiLevelType w:val="multilevel"/>
    <w:tmpl w:val="57E2F1C6"/>
    <w:lvl w:ilvl="0">
      <w:start w:val="1"/>
      <w:numFmt w:val="decimal"/>
      <w:pStyle w:val="Heading1"/>
      <w:lvlText w:val="%1"/>
      <w:lvlJc w:val="left"/>
      <w:pPr>
        <w:ind w:left="720" w:hanging="360"/>
      </w:pPr>
      <w:rPr>
        <w:rFonts w:ascii="Arial Bold" w:hAnsi="Arial Bold" w:cs="Arial" w:hint="default"/>
        <w:b/>
        <w:i w:val="0"/>
        <w:w w:val="99"/>
        <w:sz w:val="32"/>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4852F40"/>
    <w:multiLevelType w:val="hybridMultilevel"/>
    <w:tmpl w:val="1A56C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06986"/>
    <w:multiLevelType w:val="hybridMultilevel"/>
    <w:tmpl w:val="28B64A38"/>
    <w:lvl w:ilvl="0" w:tplc="9B3CF622">
      <w:start w:val="1"/>
      <w:numFmt w:val="decimal"/>
      <w:lvlText w:val="%1"/>
      <w:lvlJc w:val="left"/>
      <w:pPr>
        <w:ind w:left="1777" w:hanging="720"/>
      </w:pPr>
      <w:rPr>
        <w:rFonts w:ascii="Arial" w:eastAsia="Arial" w:hAnsi="Arial" w:cs="Arial" w:hint="default"/>
        <w:w w:val="99"/>
        <w:sz w:val="24"/>
        <w:szCs w:val="24"/>
      </w:rPr>
    </w:lvl>
    <w:lvl w:ilvl="1" w:tplc="F9027AFE">
      <w:numFmt w:val="bullet"/>
      <w:lvlText w:val="•"/>
      <w:lvlJc w:val="left"/>
      <w:pPr>
        <w:ind w:left="2644" w:hanging="720"/>
      </w:pPr>
      <w:rPr>
        <w:rFonts w:hint="default"/>
      </w:rPr>
    </w:lvl>
    <w:lvl w:ilvl="2" w:tplc="BF6E61B6">
      <w:numFmt w:val="bullet"/>
      <w:lvlText w:val="•"/>
      <w:lvlJc w:val="left"/>
      <w:pPr>
        <w:ind w:left="3508" w:hanging="720"/>
      </w:pPr>
      <w:rPr>
        <w:rFonts w:hint="default"/>
      </w:rPr>
    </w:lvl>
    <w:lvl w:ilvl="3" w:tplc="10841D60">
      <w:numFmt w:val="bullet"/>
      <w:lvlText w:val="•"/>
      <w:lvlJc w:val="left"/>
      <w:pPr>
        <w:ind w:left="4372" w:hanging="720"/>
      </w:pPr>
      <w:rPr>
        <w:rFonts w:hint="default"/>
      </w:rPr>
    </w:lvl>
    <w:lvl w:ilvl="4" w:tplc="5FDE4F76">
      <w:numFmt w:val="bullet"/>
      <w:lvlText w:val="•"/>
      <w:lvlJc w:val="left"/>
      <w:pPr>
        <w:ind w:left="5236" w:hanging="720"/>
      </w:pPr>
      <w:rPr>
        <w:rFonts w:hint="default"/>
      </w:rPr>
    </w:lvl>
    <w:lvl w:ilvl="5" w:tplc="B9B4C7C0">
      <w:numFmt w:val="bullet"/>
      <w:lvlText w:val="•"/>
      <w:lvlJc w:val="left"/>
      <w:pPr>
        <w:ind w:left="6100" w:hanging="720"/>
      </w:pPr>
      <w:rPr>
        <w:rFonts w:hint="default"/>
      </w:rPr>
    </w:lvl>
    <w:lvl w:ilvl="6" w:tplc="A936FFCA">
      <w:numFmt w:val="bullet"/>
      <w:lvlText w:val="•"/>
      <w:lvlJc w:val="left"/>
      <w:pPr>
        <w:ind w:left="6964" w:hanging="720"/>
      </w:pPr>
      <w:rPr>
        <w:rFonts w:hint="default"/>
      </w:rPr>
    </w:lvl>
    <w:lvl w:ilvl="7" w:tplc="72B877EC">
      <w:numFmt w:val="bullet"/>
      <w:lvlText w:val="•"/>
      <w:lvlJc w:val="left"/>
      <w:pPr>
        <w:ind w:left="7828" w:hanging="720"/>
      </w:pPr>
      <w:rPr>
        <w:rFonts w:hint="default"/>
      </w:rPr>
    </w:lvl>
    <w:lvl w:ilvl="8" w:tplc="FF2847E0">
      <w:numFmt w:val="bullet"/>
      <w:lvlText w:val="•"/>
      <w:lvlJc w:val="left"/>
      <w:pPr>
        <w:ind w:left="8692" w:hanging="720"/>
      </w:pPr>
      <w:rPr>
        <w:rFonts w:hint="default"/>
      </w:rPr>
    </w:lvl>
  </w:abstractNum>
  <w:abstractNum w:abstractNumId="3" w15:restartNumberingAfterBreak="0">
    <w:nsid w:val="33F465F8"/>
    <w:multiLevelType w:val="hybridMultilevel"/>
    <w:tmpl w:val="2D6E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F333D8"/>
    <w:multiLevelType w:val="hybridMultilevel"/>
    <w:tmpl w:val="52F04B3C"/>
    <w:lvl w:ilvl="0" w:tplc="16E23D94">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339CE"/>
    <w:multiLevelType w:val="hybridMultilevel"/>
    <w:tmpl w:val="75302374"/>
    <w:lvl w:ilvl="0" w:tplc="8152C6CC">
      <w:start w:val="1"/>
      <w:numFmt w:val="decimal"/>
      <w:lvlText w:val="1.%1"/>
      <w:lvlJc w:val="left"/>
      <w:pPr>
        <w:ind w:left="360" w:hanging="360"/>
      </w:pPr>
      <w:rPr>
        <w:rFonts w:ascii="Arial Bold" w:hAnsi="Arial Bold" w:hint="default"/>
        <w:b/>
        <w:i w:val="0"/>
        <w:w w:val="99"/>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1A4CCB"/>
    <w:multiLevelType w:val="hybridMultilevel"/>
    <w:tmpl w:val="A85AF7FA"/>
    <w:lvl w:ilvl="0" w:tplc="16E23D94">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26311C"/>
    <w:multiLevelType w:val="hybridMultilevel"/>
    <w:tmpl w:val="56D483FC"/>
    <w:lvl w:ilvl="0" w:tplc="C0EA458C">
      <w:start w:val="1"/>
      <w:numFmt w:val="decimal"/>
      <w:lvlText w:val="1.%1"/>
      <w:lvlJc w:val="left"/>
      <w:pPr>
        <w:ind w:left="720" w:hanging="360"/>
      </w:pPr>
      <w:rPr>
        <w:rFonts w:ascii="Arial Bold" w:hAnsi="Arial Bold"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F1A19"/>
    <w:multiLevelType w:val="hybridMultilevel"/>
    <w:tmpl w:val="E6BEB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E7577"/>
    <w:multiLevelType w:val="hybridMultilevel"/>
    <w:tmpl w:val="4AEE1274"/>
    <w:lvl w:ilvl="0" w:tplc="E07C8BF4">
      <w:start w:val="1"/>
      <w:numFmt w:val="decimal"/>
      <w:lvlText w:val="%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9174E5"/>
    <w:multiLevelType w:val="hybridMultilevel"/>
    <w:tmpl w:val="7EEE0CE6"/>
    <w:lvl w:ilvl="0" w:tplc="1D1E59CC">
      <w:numFmt w:val="bullet"/>
      <w:lvlText w:val=""/>
      <w:lvlJc w:val="left"/>
      <w:pPr>
        <w:ind w:left="752" w:hanging="360"/>
      </w:pPr>
      <w:rPr>
        <w:rFonts w:ascii="Symbol" w:eastAsia="Symbol" w:hAnsi="Symbol" w:cs="Symbol" w:hint="default"/>
        <w:w w:val="100"/>
        <w:sz w:val="22"/>
        <w:szCs w:val="22"/>
      </w:rPr>
    </w:lvl>
    <w:lvl w:ilvl="1" w:tplc="760E8ED6">
      <w:numFmt w:val="bullet"/>
      <w:lvlText w:val=""/>
      <w:lvlJc w:val="left"/>
      <w:pPr>
        <w:ind w:left="1417" w:hanging="567"/>
      </w:pPr>
      <w:rPr>
        <w:rFonts w:ascii="Symbol" w:eastAsia="Symbol" w:hAnsi="Symbol" w:cs="Symbol" w:hint="default"/>
        <w:w w:val="100"/>
        <w:sz w:val="22"/>
        <w:szCs w:val="22"/>
      </w:rPr>
    </w:lvl>
    <w:lvl w:ilvl="2" w:tplc="191A5BD6">
      <w:numFmt w:val="bullet"/>
      <w:lvlText w:val="•"/>
      <w:lvlJc w:val="left"/>
      <w:pPr>
        <w:ind w:left="2420" w:hanging="567"/>
      </w:pPr>
      <w:rPr>
        <w:rFonts w:hint="default"/>
      </w:rPr>
    </w:lvl>
    <w:lvl w:ilvl="3" w:tplc="AA6C86AA">
      <w:numFmt w:val="bullet"/>
      <w:lvlText w:val="•"/>
      <w:lvlJc w:val="left"/>
      <w:pPr>
        <w:ind w:left="3420" w:hanging="567"/>
      </w:pPr>
      <w:rPr>
        <w:rFonts w:hint="default"/>
      </w:rPr>
    </w:lvl>
    <w:lvl w:ilvl="4" w:tplc="8F60D154">
      <w:numFmt w:val="bullet"/>
      <w:lvlText w:val="•"/>
      <w:lvlJc w:val="left"/>
      <w:pPr>
        <w:ind w:left="4420" w:hanging="567"/>
      </w:pPr>
      <w:rPr>
        <w:rFonts w:hint="default"/>
      </w:rPr>
    </w:lvl>
    <w:lvl w:ilvl="5" w:tplc="1ED64E7A">
      <w:numFmt w:val="bullet"/>
      <w:lvlText w:val="•"/>
      <w:lvlJc w:val="left"/>
      <w:pPr>
        <w:ind w:left="5420" w:hanging="567"/>
      </w:pPr>
      <w:rPr>
        <w:rFonts w:hint="default"/>
      </w:rPr>
    </w:lvl>
    <w:lvl w:ilvl="6" w:tplc="34F61AA8">
      <w:numFmt w:val="bullet"/>
      <w:lvlText w:val="•"/>
      <w:lvlJc w:val="left"/>
      <w:pPr>
        <w:ind w:left="6420" w:hanging="567"/>
      </w:pPr>
      <w:rPr>
        <w:rFonts w:hint="default"/>
      </w:rPr>
    </w:lvl>
    <w:lvl w:ilvl="7" w:tplc="1434700A">
      <w:numFmt w:val="bullet"/>
      <w:lvlText w:val="•"/>
      <w:lvlJc w:val="left"/>
      <w:pPr>
        <w:ind w:left="7420" w:hanging="567"/>
      </w:pPr>
      <w:rPr>
        <w:rFonts w:hint="default"/>
      </w:rPr>
    </w:lvl>
    <w:lvl w:ilvl="8" w:tplc="90A23966">
      <w:numFmt w:val="bullet"/>
      <w:lvlText w:val="•"/>
      <w:lvlJc w:val="left"/>
      <w:pPr>
        <w:ind w:left="8420" w:hanging="567"/>
      </w:pPr>
      <w:rPr>
        <w:rFonts w:hint="default"/>
      </w:rPr>
    </w:lvl>
  </w:abstractNum>
  <w:num w:numId="1">
    <w:abstractNumId w:val="2"/>
  </w:num>
  <w:num w:numId="2">
    <w:abstractNumId w:val="10"/>
  </w:num>
  <w:num w:numId="3">
    <w:abstractNumId w:val="1"/>
  </w:num>
  <w:num w:numId="4">
    <w:abstractNumId w:val="3"/>
  </w:num>
  <w:num w:numId="5">
    <w:abstractNumId w:val="0"/>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7"/>
  </w:num>
  <w:num w:numId="15">
    <w:abstractNumId w:val="7"/>
  </w:num>
  <w:num w:numId="16">
    <w:abstractNumId w:val="7"/>
  </w:num>
  <w:num w:numId="17">
    <w:abstractNumId w:val="7"/>
  </w:num>
  <w:num w:numId="18">
    <w:abstractNumId w:val="9"/>
  </w:num>
  <w:num w:numId="19">
    <w:abstractNumId w:val="8"/>
  </w:num>
  <w:num w:numId="20">
    <w:abstractNumId w:val="0"/>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6F"/>
    <w:rsid w:val="0001156A"/>
    <w:rsid w:val="00083D3F"/>
    <w:rsid w:val="000E5119"/>
    <w:rsid w:val="000F20E3"/>
    <w:rsid w:val="00190352"/>
    <w:rsid w:val="002156E5"/>
    <w:rsid w:val="00222527"/>
    <w:rsid w:val="00242606"/>
    <w:rsid w:val="002A2C0E"/>
    <w:rsid w:val="002B37CB"/>
    <w:rsid w:val="002C44A7"/>
    <w:rsid w:val="002F0F07"/>
    <w:rsid w:val="00303E2A"/>
    <w:rsid w:val="00313383"/>
    <w:rsid w:val="00323293"/>
    <w:rsid w:val="00372E1A"/>
    <w:rsid w:val="00431651"/>
    <w:rsid w:val="00461AA9"/>
    <w:rsid w:val="004A4D02"/>
    <w:rsid w:val="004A5A7F"/>
    <w:rsid w:val="0052282D"/>
    <w:rsid w:val="00530D58"/>
    <w:rsid w:val="00535883"/>
    <w:rsid w:val="00536595"/>
    <w:rsid w:val="0054329B"/>
    <w:rsid w:val="00590D72"/>
    <w:rsid w:val="005F132A"/>
    <w:rsid w:val="0060059D"/>
    <w:rsid w:val="006273B8"/>
    <w:rsid w:val="00643BCA"/>
    <w:rsid w:val="00692EAC"/>
    <w:rsid w:val="00697B21"/>
    <w:rsid w:val="006E05CA"/>
    <w:rsid w:val="00706724"/>
    <w:rsid w:val="00711F0C"/>
    <w:rsid w:val="00756B80"/>
    <w:rsid w:val="007C0379"/>
    <w:rsid w:val="007C4D4C"/>
    <w:rsid w:val="007F0C94"/>
    <w:rsid w:val="00816666"/>
    <w:rsid w:val="00826413"/>
    <w:rsid w:val="0087786B"/>
    <w:rsid w:val="00932C34"/>
    <w:rsid w:val="00975FC7"/>
    <w:rsid w:val="00990828"/>
    <w:rsid w:val="00A03B28"/>
    <w:rsid w:val="00A0429B"/>
    <w:rsid w:val="00A60472"/>
    <w:rsid w:val="00A6296E"/>
    <w:rsid w:val="00AB06B5"/>
    <w:rsid w:val="00AC7698"/>
    <w:rsid w:val="00AD025B"/>
    <w:rsid w:val="00AD486A"/>
    <w:rsid w:val="00AD6AA4"/>
    <w:rsid w:val="00BA1784"/>
    <w:rsid w:val="00BD6397"/>
    <w:rsid w:val="00BF3F3F"/>
    <w:rsid w:val="00C25390"/>
    <w:rsid w:val="00C45964"/>
    <w:rsid w:val="00C73DB2"/>
    <w:rsid w:val="00CD243B"/>
    <w:rsid w:val="00CF0294"/>
    <w:rsid w:val="00CF796F"/>
    <w:rsid w:val="00D2574F"/>
    <w:rsid w:val="00D56A51"/>
    <w:rsid w:val="00DD4598"/>
    <w:rsid w:val="00E20275"/>
    <w:rsid w:val="00E71ECE"/>
    <w:rsid w:val="00ED2C08"/>
    <w:rsid w:val="00ED3B89"/>
    <w:rsid w:val="00ED6A1B"/>
    <w:rsid w:val="00EF0C1B"/>
    <w:rsid w:val="00F0268D"/>
    <w:rsid w:val="00F1244E"/>
    <w:rsid w:val="00F60405"/>
    <w:rsid w:val="00F64686"/>
    <w:rsid w:val="00FC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46A10"/>
  <w15:docId w15:val="{5ED58C74-22A6-48E9-809A-C938132B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826413"/>
    <w:pPr>
      <w:numPr>
        <w:numId w:val="5"/>
      </w:numPr>
      <w:spacing w:before="240" w:after="120"/>
      <w:ind w:left="851" w:hanging="851"/>
      <w:outlineLvl w:val="0"/>
    </w:pPr>
    <w:rPr>
      <w:rFonts w:ascii="Arial Bold" w:hAnsi="Arial Bold"/>
      <w:b/>
      <w:bCs/>
      <w:sz w:val="32"/>
      <w:szCs w:val="32"/>
    </w:rPr>
  </w:style>
  <w:style w:type="paragraph" w:styleId="Heading2">
    <w:name w:val="heading 2"/>
    <w:basedOn w:val="Normal"/>
    <w:autoRedefine/>
    <w:uiPriority w:val="9"/>
    <w:unhideWhenUsed/>
    <w:qFormat/>
    <w:rsid w:val="00CF0294"/>
    <w:pPr>
      <w:spacing w:before="240" w:after="120"/>
      <w:ind w:left="851" w:hanging="851"/>
      <w:outlineLvl w:val="1"/>
    </w:pPr>
    <w:rPr>
      <w:rFonts w:ascii="Arial Bold" w:hAnsi="Arial Bold"/>
      <w:b/>
      <w:bCs/>
      <w:sz w:val="28"/>
      <w:szCs w:val="28"/>
    </w:rPr>
  </w:style>
  <w:style w:type="paragraph" w:styleId="Heading3">
    <w:name w:val="heading 3"/>
    <w:basedOn w:val="Normal"/>
    <w:uiPriority w:val="9"/>
    <w:unhideWhenUsed/>
    <w:qFormat/>
    <w:pPr>
      <w:spacing w:before="10"/>
      <w:ind w:left="20"/>
      <w:outlineLvl w:val="2"/>
    </w:pPr>
    <w:rPr>
      <w:sz w:val="24"/>
      <w:szCs w:val="24"/>
    </w:rPr>
  </w:style>
  <w:style w:type="paragraph" w:styleId="Heading4">
    <w:name w:val="heading 4"/>
    <w:basedOn w:val="Normal"/>
    <w:uiPriority w:val="9"/>
    <w:unhideWhenUsed/>
    <w:qFormat/>
    <w:pPr>
      <w:spacing w:before="119"/>
      <w:ind w:left="1057"/>
      <w:outlineLvl w:val="3"/>
    </w:pPr>
    <w:rPr>
      <w:b/>
      <w:bCs/>
    </w:rPr>
  </w:style>
  <w:style w:type="paragraph" w:styleId="Heading5">
    <w:name w:val="heading 5"/>
    <w:basedOn w:val="Normal"/>
    <w:uiPriority w:val="9"/>
    <w:unhideWhenUsed/>
    <w:qFormat/>
    <w:pPr>
      <w:ind w:left="392"/>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417"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2F0F07"/>
    <w:pPr>
      <w:tabs>
        <w:tab w:val="center" w:pos="4513"/>
        <w:tab w:val="right" w:pos="9026"/>
      </w:tabs>
    </w:pPr>
  </w:style>
  <w:style w:type="character" w:customStyle="1" w:styleId="HeaderChar">
    <w:name w:val="Header Char"/>
    <w:basedOn w:val="DefaultParagraphFont"/>
    <w:link w:val="Header"/>
    <w:uiPriority w:val="99"/>
    <w:rsid w:val="002F0F07"/>
    <w:rPr>
      <w:rFonts w:ascii="Arial" w:eastAsia="Arial" w:hAnsi="Arial" w:cs="Arial"/>
    </w:rPr>
  </w:style>
  <w:style w:type="paragraph" w:styleId="Footer">
    <w:name w:val="footer"/>
    <w:basedOn w:val="Normal"/>
    <w:link w:val="FooterChar"/>
    <w:unhideWhenUsed/>
    <w:rsid w:val="002F0F07"/>
    <w:pPr>
      <w:tabs>
        <w:tab w:val="center" w:pos="4513"/>
        <w:tab w:val="right" w:pos="9026"/>
      </w:tabs>
    </w:pPr>
  </w:style>
  <w:style w:type="character" w:customStyle="1" w:styleId="FooterChar">
    <w:name w:val="Footer Char"/>
    <w:basedOn w:val="DefaultParagraphFont"/>
    <w:link w:val="Footer"/>
    <w:uiPriority w:val="99"/>
    <w:rsid w:val="002F0F07"/>
    <w:rPr>
      <w:rFonts w:ascii="Arial" w:eastAsia="Arial" w:hAnsi="Arial" w:cs="Arial"/>
    </w:rPr>
  </w:style>
  <w:style w:type="character" w:styleId="PageNumber">
    <w:name w:val="page number"/>
    <w:basedOn w:val="DefaultParagraphFont"/>
    <w:rsid w:val="002F0F07"/>
  </w:style>
  <w:style w:type="character" w:styleId="Hyperlink">
    <w:name w:val="Hyperlink"/>
    <w:basedOn w:val="DefaultParagraphFont"/>
    <w:uiPriority w:val="99"/>
    <w:rsid w:val="0054329B"/>
    <w:rPr>
      <w:color w:val="0000FF"/>
      <w:u w:val="single"/>
    </w:rPr>
  </w:style>
  <w:style w:type="paragraph" w:styleId="TOC1">
    <w:name w:val="toc 1"/>
    <w:basedOn w:val="Normal"/>
    <w:next w:val="Normal"/>
    <w:autoRedefine/>
    <w:uiPriority w:val="39"/>
    <w:rsid w:val="007C0379"/>
    <w:pPr>
      <w:widowControl/>
      <w:tabs>
        <w:tab w:val="left" w:pos="567"/>
        <w:tab w:val="right" w:leader="dot" w:pos="9628"/>
      </w:tabs>
      <w:autoSpaceDE/>
      <w:autoSpaceDN/>
      <w:spacing w:before="120"/>
      <w:ind w:left="567" w:hanging="567"/>
    </w:pPr>
    <w:rPr>
      <w:rFonts w:ascii="Arial Bold" w:eastAsia="Times New Roman" w:hAnsi="Arial Bold" w:cstheme="minorHAnsi"/>
      <w:b/>
      <w:bCs/>
      <w:caps/>
      <w:sz w:val="24"/>
      <w:szCs w:val="20"/>
      <w:lang w:val="en-GB" w:eastAsia="en-GB"/>
    </w:rPr>
  </w:style>
  <w:style w:type="paragraph" w:styleId="TOC2">
    <w:name w:val="toc 2"/>
    <w:basedOn w:val="Normal"/>
    <w:next w:val="Normal"/>
    <w:autoRedefine/>
    <w:uiPriority w:val="39"/>
    <w:rsid w:val="00F64686"/>
    <w:pPr>
      <w:widowControl/>
      <w:autoSpaceDE/>
      <w:autoSpaceDN/>
      <w:ind w:left="284"/>
    </w:pPr>
    <w:rPr>
      <w:rFonts w:eastAsia="Times New Roman" w:cstheme="minorHAnsi"/>
      <w:smallCaps/>
      <w:szCs w:val="20"/>
      <w:lang w:val="en-GB" w:eastAsia="en-GB"/>
    </w:rPr>
  </w:style>
  <w:style w:type="table" w:styleId="TableGrid">
    <w:name w:val="Table Grid"/>
    <w:basedOn w:val="TableNormal"/>
    <w:rsid w:val="00643BC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2.xml"/><Relationship Id="rId37" Type="http://schemas.openxmlformats.org/officeDocument/2006/relationships/image" Target="media/image2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hyperlink" Target="http://www.nuclearinst.com/SDF-safety-cases" TargetMode="Externa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5B73-5823-4FB8-9ABF-8A589AD4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27</Pages>
  <Words>9334</Words>
  <Characters>53208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Appropriate conservatism in safety cases Iss 1 July 2015 new templatev2</vt:lpstr>
    </vt:vector>
  </TitlesOfParts>
  <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Appropriate conservatism in safety cases Iss 1 July 2015 new templatev2</dc:title>
  <dc:subject/>
  <dc:creator>acb4</dc:creator>
  <cp:keywords/>
  <dc:description/>
  <cp:lastModifiedBy>Alan Hall</cp:lastModifiedBy>
  <cp:revision>3</cp:revision>
  <dcterms:created xsi:type="dcterms:W3CDTF">2020-01-14T11:53:00Z</dcterms:created>
  <dcterms:modified xsi:type="dcterms:W3CDTF">2020-09-04T10:14:00Z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PDFCreator Version 1.7.3</vt:lpwstr>
  </property>
  <property fmtid="{D5CDD505-2E9C-101B-9397-08002B2CF9AE}" pid="4" name="LastSaved">
    <vt:filetime>2019-11-26T00:00:00Z</vt:filetime>
  </property>
</Properties>
</file>