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96" w:rsidRPr="000A77D2" w:rsidRDefault="00F10596" w:rsidP="000A77D2">
      <w:pPr>
        <w:jc w:val="both"/>
      </w:pPr>
    </w:p>
    <w:p w:rsidR="00F10596" w:rsidRPr="000A77D2" w:rsidRDefault="00F10596" w:rsidP="00247CE4">
      <w:pPr>
        <w:jc w:val="both"/>
        <w:rPr>
          <w:rFonts w:asciiTheme="minorHAnsi" w:hAnsiTheme="minorHAnsi" w:cs="Arial"/>
          <w:sz w:val="22"/>
          <w:szCs w:val="22"/>
        </w:rPr>
      </w:pPr>
      <w:r w:rsidRPr="000A77D2">
        <w:rPr>
          <w:rFonts w:asciiTheme="minorHAnsi" w:hAnsiTheme="minorHAnsi" w:cs="Arial"/>
          <w:sz w:val="22"/>
          <w:szCs w:val="22"/>
        </w:rPr>
        <w:t>The principal aim of the Nuclear Institute is to promote the highest professional and safety standards for the nuclear industry.  As part of the activity towards achieving this aim the Institute has in place a professional development strategy for all professional membership grades i.e. Fellow, Member, Associate Member and Technician.</w:t>
      </w:r>
    </w:p>
    <w:p w:rsidR="00F10596" w:rsidRPr="000A77D2" w:rsidRDefault="00F10596" w:rsidP="00247CE4">
      <w:pPr>
        <w:jc w:val="both"/>
        <w:rPr>
          <w:rFonts w:asciiTheme="minorHAnsi" w:hAnsiTheme="minorHAnsi" w:cs="Arial"/>
          <w:sz w:val="22"/>
          <w:szCs w:val="22"/>
        </w:rPr>
      </w:pPr>
    </w:p>
    <w:p w:rsidR="00F10596" w:rsidRPr="000A77D2" w:rsidRDefault="00F10596" w:rsidP="00247CE4">
      <w:pPr>
        <w:jc w:val="both"/>
        <w:rPr>
          <w:rFonts w:asciiTheme="minorHAnsi" w:hAnsiTheme="minorHAnsi" w:cs="Arial"/>
          <w:sz w:val="22"/>
          <w:szCs w:val="22"/>
        </w:rPr>
      </w:pPr>
      <w:r w:rsidRPr="000A77D2">
        <w:rPr>
          <w:rFonts w:asciiTheme="minorHAnsi" w:hAnsiTheme="minorHAnsi" w:cs="Arial"/>
          <w:sz w:val="22"/>
          <w:szCs w:val="22"/>
        </w:rPr>
        <w:t>The Institute’s strategy in professional development is based on the following objectives:</w:t>
      </w:r>
    </w:p>
    <w:p w:rsidR="00F10596" w:rsidRPr="000A77D2" w:rsidRDefault="00F10596" w:rsidP="00247CE4">
      <w:pPr>
        <w:jc w:val="both"/>
        <w:rPr>
          <w:rFonts w:asciiTheme="minorHAnsi" w:hAnsiTheme="minorHAnsi" w:cs="Arial"/>
          <w:sz w:val="22"/>
          <w:szCs w:val="22"/>
        </w:rPr>
      </w:pPr>
    </w:p>
    <w:p w:rsidR="00F10596" w:rsidRPr="000A77D2" w:rsidRDefault="00F10596" w:rsidP="00247CE4">
      <w:pPr>
        <w:ind w:left="720" w:hanging="720"/>
        <w:jc w:val="both"/>
        <w:rPr>
          <w:rFonts w:asciiTheme="minorHAnsi" w:hAnsiTheme="minorHAnsi" w:cs="Arial"/>
          <w:sz w:val="22"/>
          <w:szCs w:val="22"/>
        </w:rPr>
      </w:pPr>
      <w:r w:rsidRPr="000A77D2">
        <w:rPr>
          <w:rFonts w:asciiTheme="minorHAnsi" w:hAnsiTheme="minorHAnsi" w:cs="Arial"/>
          <w:sz w:val="22"/>
          <w:szCs w:val="22"/>
        </w:rPr>
        <w:t>(</w:t>
      </w:r>
      <w:proofErr w:type="spellStart"/>
      <w:r w:rsidRPr="000A77D2">
        <w:rPr>
          <w:rFonts w:asciiTheme="minorHAnsi" w:hAnsiTheme="minorHAnsi" w:cs="Arial"/>
          <w:sz w:val="22"/>
          <w:szCs w:val="22"/>
        </w:rPr>
        <w:t>i</w:t>
      </w:r>
      <w:proofErr w:type="spellEnd"/>
      <w:r w:rsidRPr="000A77D2">
        <w:rPr>
          <w:rFonts w:asciiTheme="minorHAnsi" w:hAnsiTheme="minorHAnsi" w:cs="Arial"/>
          <w:sz w:val="22"/>
          <w:szCs w:val="22"/>
        </w:rPr>
        <w:t>)</w:t>
      </w:r>
      <w:r w:rsidRPr="000A77D2">
        <w:rPr>
          <w:rFonts w:asciiTheme="minorHAnsi" w:hAnsiTheme="minorHAnsi" w:cs="Arial"/>
          <w:sz w:val="22"/>
          <w:szCs w:val="22"/>
        </w:rPr>
        <w:tab/>
        <w:t>To promote a culture of active participation in professional development amongst the membership of the Institute.</w:t>
      </w:r>
    </w:p>
    <w:p w:rsidR="00F10596" w:rsidRPr="000A77D2" w:rsidRDefault="00F10596" w:rsidP="00247CE4">
      <w:pPr>
        <w:ind w:left="720" w:hanging="720"/>
        <w:jc w:val="both"/>
        <w:rPr>
          <w:rFonts w:asciiTheme="minorHAnsi" w:hAnsiTheme="minorHAnsi" w:cs="Arial"/>
          <w:sz w:val="22"/>
          <w:szCs w:val="22"/>
        </w:rPr>
      </w:pPr>
      <w:r w:rsidRPr="000A77D2">
        <w:rPr>
          <w:rFonts w:asciiTheme="minorHAnsi" w:hAnsiTheme="minorHAnsi" w:cs="Arial"/>
          <w:sz w:val="22"/>
          <w:szCs w:val="22"/>
        </w:rPr>
        <w:t>(ii)</w:t>
      </w:r>
      <w:r w:rsidRPr="000A77D2">
        <w:rPr>
          <w:rFonts w:asciiTheme="minorHAnsi" w:hAnsiTheme="minorHAnsi" w:cs="Arial"/>
          <w:sz w:val="22"/>
          <w:szCs w:val="22"/>
        </w:rPr>
        <w:tab/>
        <w:t>To require that members of the Institute maintain a continuous record of their professional development activity.</w:t>
      </w:r>
    </w:p>
    <w:p w:rsidR="00F10596" w:rsidRPr="000A77D2" w:rsidRDefault="00F10596" w:rsidP="00247CE4">
      <w:pPr>
        <w:pStyle w:val="BodyTextIndent"/>
        <w:spacing w:after="0"/>
        <w:ind w:left="720" w:hanging="720"/>
        <w:jc w:val="both"/>
        <w:rPr>
          <w:rFonts w:asciiTheme="minorHAnsi" w:hAnsiTheme="minorHAnsi" w:cs="Arial"/>
          <w:sz w:val="22"/>
          <w:szCs w:val="22"/>
        </w:rPr>
      </w:pPr>
      <w:r w:rsidRPr="000A77D2">
        <w:rPr>
          <w:rFonts w:asciiTheme="minorHAnsi" w:hAnsiTheme="minorHAnsi" w:cs="Arial"/>
          <w:sz w:val="22"/>
          <w:szCs w:val="22"/>
        </w:rPr>
        <w:t>(iii)</w:t>
      </w:r>
      <w:r w:rsidRPr="000A77D2">
        <w:rPr>
          <w:rFonts w:asciiTheme="minorHAnsi" w:hAnsiTheme="minorHAnsi" w:cs="Arial"/>
          <w:sz w:val="22"/>
          <w:szCs w:val="22"/>
        </w:rPr>
        <w:tab/>
        <w:t>To monitor the professional development profile of individual members of the Institute at appropriate times (related to maintaining Engineering Council and Science Council licensing conditions and when members are applying for, or transferring between, membership grades).</w:t>
      </w:r>
    </w:p>
    <w:p w:rsidR="00F10596" w:rsidRPr="000A77D2" w:rsidRDefault="00F10596" w:rsidP="00247CE4">
      <w:pPr>
        <w:ind w:left="720" w:hanging="720"/>
        <w:jc w:val="both"/>
        <w:rPr>
          <w:rFonts w:asciiTheme="minorHAnsi" w:hAnsiTheme="minorHAnsi" w:cs="Arial"/>
          <w:sz w:val="22"/>
          <w:szCs w:val="22"/>
        </w:rPr>
      </w:pPr>
      <w:r w:rsidRPr="000A77D2">
        <w:rPr>
          <w:rFonts w:asciiTheme="minorHAnsi" w:hAnsiTheme="minorHAnsi" w:cs="Arial"/>
          <w:sz w:val="22"/>
          <w:szCs w:val="22"/>
        </w:rPr>
        <w:t>(iv)</w:t>
      </w:r>
      <w:r w:rsidRPr="000A77D2">
        <w:rPr>
          <w:rFonts w:asciiTheme="minorHAnsi" w:hAnsiTheme="minorHAnsi" w:cs="Arial"/>
          <w:sz w:val="22"/>
          <w:szCs w:val="22"/>
        </w:rPr>
        <w:tab/>
        <w:t>To encourage individual members to aim for the highest standards in continuing professional development by the provision of regular information on professional development opportunities, standards and requirements, both in the workplace and in the wider profession.</w:t>
      </w:r>
    </w:p>
    <w:p w:rsidR="00F10596" w:rsidRPr="000A77D2" w:rsidRDefault="00F10596" w:rsidP="00247CE4">
      <w:pPr>
        <w:ind w:left="720" w:hanging="720"/>
        <w:jc w:val="both"/>
        <w:rPr>
          <w:rFonts w:asciiTheme="minorHAnsi" w:hAnsiTheme="minorHAnsi" w:cs="Arial"/>
          <w:sz w:val="22"/>
          <w:szCs w:val="22"/>
        </w:rPr>
      </w:pPr>
      <w:r w:rsidRPr="000A77D2">
        <w:rPr>
          <w:rFonts w:asciiTheme="minorHAnsi" w:hAnsiTheme="minorHAnsi" w:cs="Arial"/>
          <w:sz w:val="22"/>
          <w:szCs w:val="22"/>
        </w:rPr>
        <w:t>(v)</w:t>
      </w:r>
      <w:r w:rsidRPr="000A77D2">
        <w:rPr>
          <w:rFonts w:asciiTheme="minorHAnsi" w:hAnsiTheme="minorHAnsi" w:cs="Arial"/>
          <w:sz w:val="22"/>
          <w:szCs w:val="22"/>
        </w:rPr>
        <w:tab/>
        <w:t>To identify areas where professional development needs to be enhanced and to promote appropriate development initiatives in these areas.</w:t>
      </w:r>
    </w:p>
    <w:p w:rsidR="00F10596" w:rsidRPr="000A77D2" w:rsidRDefault="00F10596" w:rsidP="00247CE4">
      <w:pPr>
        <w:ind w:left="720" w:hanging="720"/>
        <w:jc w:val="both"/>
        <w:rPr>
          <w:rFonts w:asciiTheme="minorHAnsi" w:hAnsiTheme="minorHAnsi" w:cs="Arial"/>
          <w:sz w:val="22"/>
          <w:szCs w:val="22"/>
        </w:rPr>
      </w:pPr>
      <w:proofErr w:type="gramStart"/>
      <w:r w:rsidRPr="000A77D2">
        <w:rPr>
          <w:rFonts w:asciiTheme="minorHAnsi" w:hAnsiTheme="minorHAnsi" w:cs="Arial"/>
          <w:sz w:val="22"/>
          <w:szCs w:val="22"/>
        </w:rPr>
        <w:t>(vi)</w:t>
      </w:r>
      <w:r w:rsidRPr="000A77D2">
        <w:rPr>
          <w:rFonts w:asciiTheme="minorHAnsi" w:hAnsiTheme="minorHAnsi" w:cs="Arial"/>
          <w:sz w:val="22"/>
          <w:szCs w:val="22"/>
        </w:rPr>
        <w:tab/>
        <w:t>To</w:t>
      </w:r>
      <w:proofErr w:type="gramEnd"/>
      <w:r w:rsidRPr="000A77D2">
        <w:rPr>
          <w:rFonts w:asciiTheme="minorHAnsi" w:hAnsiTheme="minorHAnsi" w:cs="Arial"/>
          <w:sz w:val="22"/>
          <w:szCs w:val="22"/>
        </w:rPr>
        <w:t xml:space="preserve"> regularly review the Institute’s continuing professional development policy and to amend and improve where required.</w:t>
      </w:r>
    </w:p>
    <w:p w:rsidR="000141AB" w:rsidRPr="000A77D2" w:rsidRDefault="000141AB" w:rsidP="00247CE4">
      <w:pPr>
        <w:ind w:left="720" w:hanging="720"/>
        <w:jc w:val="both"/>
        <w:rPr>
          <w:rFonts w:asciiTheme="minorHAnsi" w:hAnsiTheme="minorHAnsi" w:cs="Arial"/>
          <w:sz w:val="22"/>
          <w:szCs w:val="22"/>
        </w:rPr>
      </w:pPr>
    </w:p>
    <w:p w:rsidR="00247CE4" w:rsidRDefault="000141AB" w:rsidP="00247CE4">
      <w:pPr>
        <w:pStyle w:val="NumberedPara"/>
        <w:spacing w:before="72"/>
        <w:rPr>
          <w:rFonts w:asciiTheme="minorHAnsi" w:hAnsiTheme="minorHAnsi"/>
          <w:sz w:val="22"/>
          <w:szCs w:val="22"/>
        </w:rPr>
      </w:pPr>
      <w:r w:rsidRPr="000A77D2">
        <w:rPr>
          <w:rFonts w:asciiTheme="minorHAnsi" w:hAnsiTheme="minorHAnsi"/>
          <w:color w:val="auto"/>
          <w:sz w:val="22"/>
          <w:szCs w:val="22"/>
        </w:rPr>
        <w:t xml:space="preserve">It is generally </w:t>
      </w:r>
      <w:proofErr w:type="spellStart"/>
      <w:r w:rsidRPr="000A77D2">
        <w:rPr>
          <w:rFonts w:asciiTheme="minorHAnsi" w:hAnsiTheme="minorHAnsi"/>
          <w:color w:val="auto"/>
          <w:sz w:val="22"/>
          <w:szCs w:val="22"/>
        </w:rPr>
        <w:t>recognised</w:t>
      </w:r>
      <w:proofErr w:type="spellEnd"/>
      <w:r w:rsidRPr="000A77D2">
        <w:rPr>
          <w:rFonts w:asciiTheme="minorHAnsi" w:hAnsiTheme="minorHAnsi"/>
          <w:color w:val="auto"/>
          <w:sz w:val="22"/>
          <w:szCs w:val="22"/>
        </w:rPr>
        <w:t xml:space="preserve"> that most members undertake </w:t>
      </w:r>
      <w:r w:rsidRPr="000A77D2">
        <w:rPr>
          <w:rFonts w:asciiTheme="minorHAnsi" w:hAnsiTheme="minorHAnsi"/>
          <w:i/>
          <w:color w:val="auto"/>
          <w:sz w:val="22"/>
          <w:szCs w:val="22"/>
        </w:rPr>
        <w:t>professional development</w:t>
      </w:r>
      <w:r w:rsidRPr="000A77D2">
        <w:rPr>
          <w:rFonts w:asciiTheme="minorHAnsi" w:hAnsiTheme="minorHAnsi"/>
          <w:color w:val="auto"/>
          <w:sz w:val="22"/>
          <w:szCs w:val="22"/>
        </w:rPr>
        <w:t xml:space="preserve"> on a regular basis, usually as part of their employment but that many fail to keep adequately documented evidence of this learning.  </w:t>
      </w:r>
      <w:r w:rsidR="00247CE4" w:rsidRPr="0033059C">
        <w:rPr>
          <w:rFonts w:asciiTheme="minorHAnsi" w:hAnsiTheme="minorHAnsi"/>
          <w:sz w:val="22"/>
          <w:szCs w:val="22"/>
        </w:rPr>
        <w:t xml:space="preserve">Each year, you will be required to confirm that you are undertaking CPD and are </w:t>
      </w:r>
      <w:r w:rsidR="00247CE4">
        <w:rPr>
          <w:rFonts w:asciiTheme="minorHAnsi" w:hAnsiTheme="minorHAnsi"/>
          <w:sz w:val="22"/>
          <w:szCs w:val="22"/>
        </w:rPr>
        <w:t>maintaining</w:t>
      </w:r>
      <w:r w:rsidR="00247CE4" w:rsidRPr="0033059C">
        <w:rPr>
          <w:rFonts w:asciiTheme="minorHAnsi" w:hAnsiTheme="minorHAnsi"/>
          <w:sz w:val="22"/>
          <w:szCs w:val="22"/>
        </w:rPr>
        <w:t xml:space="preserve"> your record in order to retain your membership. </w:t>
      </w:r>
    </w:p>
    <w:p w:rsidR="00247CE4" w:rsidRDefault="00247CE4" w:rsidP="00247CE4">
      <w:pPr>
        <w:pStyle w:val="NumberedPara"/>
        <w:spacing w:before="72"/>
        <w:rPr>
          <w:rFonts w:asciiTheme="minorHAnsi" w:hAnsiTheme="minorHAnsi"/>
          <w:sz w:val="22"/>
          <w:szCs w:val="22"/>
        </w:rPr>
      </w:pPr>
      <w:r w:rsidRPr="0033059C">
        <w:rPr>
          <w:rFonts w:asciiTheme="minorHAnsi" w:hAnsiTheme="minorHAnsi"/>
          <w:sz w:val="22"/>
          <w:szCs w:val="22"/>
        </w:rPr>
        <w:t xml:space="preserve">Currently, this is compulsory for all members registered as Chartered Scientist. </w:t>
      </w:r>
      <w:proofErr w:type="gramStart"/>
      <w:r w:rsidRPr="0033059C">
        <w:rPr>
          <w:rFonts w:asciiTheme="minorHAnsi" w:hAnsiTheme="minorHAnsi"/>
          <w:sz w:val="22"/>
          <w:szCs w:val="22"/>
        </w:rPr>
        <w:t>A sample of members are</w:t>
      </w:r>
      <w:proofErr w:type="gramEnd"/>
      <w:r w:rsidRPr="0033059C">
        <w:rPr>
          <w:rFonts w:asciiTheme="minorHAnsi" w:hAnsiTheme="minorHAnsi"/>
          <w:sz w:val="22"/>
          <w:szCs w:val="22"/>
        </w:rPr>
        <w:t xml:space="preserve"> audited f</w:t>
      </w:r>
      <w:r>
        <w:rPr>
          <w:rFonts w:asciiTheme="minorHAnsi" w:hAnsiTheme="minorHAnsi"/>
          <w:sz w:val="22"/>
          <w:szCs w:val="22"/>
        </w:rPr>
        <w:t>rom all the Chartered Scientist</w:t>
      </w:r>
      <w:r w:rsidRPr="0033059C">
        <w:rPr>
          <w:rFonts w:asciiTheme="minorHAnsi" w:hAnsiTheme="minorHAnsi"/>
          <w:sz w:val="22"/>
          <w:szCs w:val="22"/>
        </w:rPr>
        <w:t xml:space="preserve">s </w:t>
      </w:r>
      <w:r>
        <w:rPr>
          <w:rFonts w:asciiTheme="minorHAnsi" w:hAnsiTheme="minorHAnsi"/>
          <w:sz w:val="22"/>
          <w:szCs w:val="22"/>
        </w:rPr>
        <w:t>registered</w:t>
      </w:r>
      <w:r w:rsidRPr="0033059C">
        <w:rPr>
          <w:rFonts w:asciiTheme="minorHAnsi" w:hAnsiTheme="minorHAnsi"/>
          <w:sz w:val="22"/>
          <w:szCs w:val="22"/>
        </w:rPr>
        <w:t xml:space="preserve"> with the NI.  Those audited will be </w:t>
      </w:r>
      <w:r>
        <w:rPr>
          <w:rFonts w:asciiTheme="minorHAnsi" w:hAnsiTheme="minorHAnsi"/>
          <w:sz w:val="22"/>
          <w:szCs w:val="22"/>
        </w:rPr>
        <w:t>contacted in early summer, with feedback and confirmation</w:t>
      </w:r>
      <w:r w:rsidRPr="0033059C">
        <w:rPr>
          <w:rFonts w:asciiTheme="minorHAnsi" w:hAnsiTheme="minorHAnsi"/>
          <w:sz w:val="22"/>
          <w:szCs w:val="22"/>
        </w:rPr>
        <w:t xml:space="preserve"> provided in </w:t>
      </w:r>
      <w:r>
        <w:rPr>
          <w:rFonts w:asciiTheme="minorHAnsi" w:hAnsiTheme="minorHAnsi"/>
          <w:sz w:val="22"/>
          <w:szCs w:val="22"/>
        </w:rPr>
        <w:t>late autumn. All non audited registrants</w:t>
      </w:r>
      <w:r w:rsidRPr="0033059C">
        <w:rPr>
          <w:rFonts w:asciiTheme="minorHAnsi" w:hAnsiTheme="minorHAnsi"/>
          <w:sz w:val="22"/>
          <w:szCs w:val="22"/>
        </w:rPr>
        <w:t xml:space="preserve"> are required to confirm that they </w:t>
      </w:r>
      <w:r>
        <w:rPr>
          <w:rFonts w:asciiTheme="minorHAnsi" w:hAnsiTheme="minorHAnsi"/>
          <w:sz w:val="22"/>
          <w:szCs w:val="22"/>
        </w:rPr>
        <w:t xml:space="preserve">are maintaining their CPD record in the autumn, before the annual renewal of subscriptions in December. </w:t>
      </w:r>
    </w:p>
    <w:p w:rsidR="00247CE4" w:rsidRPr="0033059C" w:rsidRDefault="00247CE4" w:rsidP="00247CE4">
      <w:pPr>
        <w:pStyle w:val="NumberedPara"/>
        <w:spacing w:before="72"/>
        <w:rPr>
          <w:rFonts w:asciiTheme="minorHAnsi" w:hAnsiTheme="minorHAnsi"/>
          <w:sz w:val="22"/>
          <w:szCs w:val="22"/>
        </w:rPr>
      </w:pPr>
    </w:p>
    <w:p w:rsidR="00247CE4" w:rsidRDefault="00247CE4" w:rsidP="00247CE4">
      <w:pPr>
        <w:pStyle w:val="NumberedPara"/>
        <w:rPr>
          <w:rFonts w:asciiTheme="minorHAnsi" w:hAnsiTheme="minorHAnsi"/>
          <w:color w:val="auto"/>
          <w:sz w:val="22"/>
          <w:szCs w:val="22"/>
        </w:rPr>
      </w:pPr>
      <w:r w:rsidRPr="00340003">
        <w:rPr>
          <w:rFonts w:asciiTheme="minorHAnsi" w:hAnsiTheme="minorHAnsi"/>
          <w:color w:val="auto"/>
          <w:sz w:val="22"/>
          <w:szCs w:val="22"/>
        </w:rPr>
        <w:t>The intention is to commence collection of CPD declarations for</w:t>
      </w:r>
      <w:r>
        <w:rPr>
          <w:rFonts w:asciiTheme="minorHAnsi" w:hAnsiTheme="minorHAnsi"/>
          <w:color w:val="auto"/>
          <w:sz w:val="22"/>
          <w:szCs w:val="22"/>
        </w:rPr>
        <w:t xml:space="preserve"> a</w:t>
      </w:r>
      <w:r w:rsidRPr="00340003">
        <w:rPr>
          <w:rFonts w:asciiTheme="minorHAnsi" w:hAnsiTheme="minorHAnsi"/>
          <w:color w:val="auto"/>
          <w:sz w:val="22"/>
          <w:szCs w:val="22"/>
        </w:rPr>
        <w:t>ll</w:t>
      </w:r>
      <w:r>
        <w:rPr>
          <w:rFonts w:asciiTheme="minorHAnsi" w:hAnsiTheme="minorHAnsi"/>
          <w:color w:val="auto"/>
          <w:sz w:val="22"/>
          <w:szCs w:val="22"/>
        </w:rPr>
        <w:t xml:space="preserve"> </w:t>
      </w:r>
      <w:r w:rsidRPr="00340003">
        <w:rPr>
          <w:rFonts w:asciiTheme="minorHAnsi" w:hAnsiTheme="minorHAnsi"/>
          <w:color w:val="auto"/>
          <w:sz w:val="22"/>
          <w:szCs w:val="22"/>
        </w:rPr>
        <w:t xml:space="preserve">professional members of the NI </w:t>
      </w:r>
      <w:r>
        <w:rPr>
          <w:rFonts w:asciiTheme="minorHAnsi" w:hAnsiTheme="minorHAnsi"/>
          <w:color w:val="auto"/>
          <w:sz w:val="22"/>
          <w:szCs w:val="22"/>
        </w:rPr>
        <w:t>in 2016</w:t>
      </w:r>
      <w:r w:rsidRPr="00340003">
        <w:rPr>
          <w:rFonts w:asciiTheme="minorHAnsi" w:hAnsiTheme="minorHAnsi"/>
          <w:color w:val="auto"/>
          <w:sz w:val="22"/>
          <w:szCs w:val="22"/>
        </w:rPr>
        <w:t>.</w:t>
      </w:r>
      <w:r w:rsidRPr="00640013">
        <w:rPr>
          <w:rFonts w:asciiTheme="minorHAnsi" w:hAnsiTheme="minorHAnsi"/>
          <w:sz w:val="22"/>
          <w:szCs w:val="22"/>
        </w:rPr>
        <w:t xml:space="preserve"> </w:t>
      </w:r>
      <w:r>
        <w:rPr>
          <w:rFonts w:asciiTheme="minorHAnsi" w:hAnsiTheme="minorHAnsi"/>
          <w:color w:val="auto"/>
          <w:sz w:val="22"/>
          <w:szCs w:val="22"/>
        </w:rPr>
        <w:t>T</w:t>
      </w:r>
      <w:r w:rsidRPr="00340003">
        <w:rPr>
          <w:rFonts w:asciiTheme="minorHAnsi" w:hAnsiTheme="minorHAnsi"/>
          <w:color w:val="auto"/>
          <w:sz w:val="22"/>
          <w:szCs w:val="22"/>
        </w:rPr>
        <w:t>he means of collection of compliance statements</w:t>
      </w:r>
      <w:r>
        <w:rPr>
          <w:rFonts w:asciiTheme="minorHAnsi" w:hAnsiTheme="minorHAnsi"/>
          <w:color w:val="auto"/>
          <w:sz w:val="22"/>
          <w:szCs w:val="22"/>
        </w:rPr>
        <w:t xml:space="preserve"> for Professional Members of the Institute and those registered with the Engineering Council </w:t>
      </w:r>
      <w:r w:rsidRPr="00340003">
        <w:rPr>
          <w:rFonts w:asciiTheme="minorHAnsi" w:hAnsiTheme="minorHAnsi"/>
          <w:color w:val="auto"/>
          <w:sz w:val="22"/>
          <w:szCs w:val="22"/>
        </w:rPr>
        <w:t>is being developed and wi</w:t>
      </w:r>
      <w:r>
        <w:rPr>
          <w:rFonts w:asciiTheme="minorHAnsi" w:hAnsiTheme="minorHAnsi"/>
          <w:color w:val="auto"/>
          <w:sz w:val="22"/>
          <w:szCs w:val="22"/>
        </w:rPr>
        <w:t>ll be announced in due course, along with d</w:t>
      </w:r>
      <w:r w:rsidRPr="002B6DB7">
        <w:rPr>
          <w:rFonts w:asciiTheme="minorHAnsi" w:hAnsiTheme="minorHAnsi"/>
          <w:color w:val="auto"/>
          <w:sz w:val="22"/>
          <w:szCs w:val="22"/>
        </w:rPr>
        <w:t>etailed guidance</w:t>
      </w:r>
      <w:r>
        <w:rPr>
          <w:rFonts w:asciiTheme="minorHAnsi" w:hAnsiTheme="minorHAnsi"/>
          <w:color w:val="auto"/>
          <w:sz w:val="22"/>
          <w:szCs w:val="22"/>
        </w:rPr>
        <w:t xml:space="preserve">. </w:t>
      </w:r>
    </w:p>
    <w:p w:rsidR="00247CE4" w:rsidRDefault="00247CE4" w:rsidP="00247CE4">
      <w:pPr>
        <w:pStyle w:val="NumberedPara"/>
        <w:rPr>
          <w:rFonts w:asciiTheme="minorHAnsi" w:hAnsiTheme="minorHAnsi"/>
          <w:color w:val="auto"/>
          <w:sz w:val="22"/>
          <w:szCs w:val="22"/>
        </w:rPr>
      </w:pPr>
    </w:p>
    <w:p w:rsidR="00247CE4" w:rsidRPr="00340003" w:rsidRDefault="00247CE4" w:rsidP="00247CE4">
      <w:pPr>
        <w:pStyle w:val="NumberedPara"/>
        <w:rPr>
          <w:rFonts w:asciiTheme="minorHAnsi" w:hAnsiTheme="minorHAnsi"/>
          <w:color w:val="auto"/>
          <w:sz w:val="22"/>
          <w:szCs w:val="22"/>
        </w:rPr>
      </w:pPr>
      <w:r>
        <w:rPr>
          <w:rFonts w:asciiTheme="minorHAnsi" w:hAnsiTheme="minorHAnsi"/>
          <w:color w:val="auto"/>
          <w:sz w:val="22"/>
          <w:szCs w:val="22"/>
        </w:rPr>
        <w:t>Please note that i</w:t>
      </w:r>
      <w:r w:rsidRPr="00340003">
        <w:rPr>
          <w:rFonts w:asciiTheme="minorHAnsi" w:hAnsiTheme="minorHAnsi"/>
          <w:color w:val="auto"/>
          <w:sz w:val="22"/>
          <w:szCs w:val="22"/>
        </w:rPr>
        <w:t>n the event of a non-submission, the Individual’s professional registration will be at risk.</w:t>
      </w:r>
      <w:bookmarkStart w:id="0" w:name="_GoBack"/>
      <w:bookmarkEnd w:id="0"/>
      <w:r>
        <w:rPr>
          <w:rFonts w:asciiTheme="minorHAnsi" w:hAnsiTheme="minorHAnsi"/>
          <w:color w:val="auto"/>
          <w:sz w:val="22"/>
          <w:szCs w:val="22"/>
        </w:rPr>
        <w:t xml:space="preserve"> </w:t>
      </w:r>
      <w:r w:rsidRPr="00340003">
        <w:rPr>
          <w:rFonts w:asciiTheme="minorHAnsi" w:hAnsiTheme="minorHAnsi"/>
          <w:color w:val="auto"/>
          <w:sz w:val="22"/>
          <w:szCs w:val="22"/>
        </w:rPr>
        <w:t>The Nuclear Institute will review your professional development on a regular basis by means of a sample audit of a proportion of the professional membership.  Failure to provide the evidence when requested or insufficient evidence will also put an Individual’s professional registration at risk.  In this instance the matter will be initially reviewed at the NI Membership committee.</w:t>
      </w:r>
    </w:p>
    <w:p w:rsidR="00247CE4" w:rsidRDefault="00247CE4" w:rsidP="00247CE4">
      <w:pPr>
        <w:pStyle w:val="NumberedPara"/>
        <w:spacing w:before="72"/>
        <w:rPr>
          <w:rFonts w:asciiTheme="minorHAnsi" w:hAnsiTheme="minorHAnsi"/>
          <w:b/>
          <w:color w:val="auto"/>
          <w:sz w:val="22"/>
          <w:szCs w:val="22"/>
        </w:rPr>
      </w:pPr>
    </w:p>
    <w:p w:rsidR="005603DE" w:rsidRPr="000A77D2" w:rsidRDefault="005603DE" w:rsidP="00247CE4">
      <w:pPr>
        <w:pStyle w:val="NumberedPara"/>
        <w:spacing w:before="72"/>
        <w:rPr>
          <w:rFonts w:asciiTheme="minorHAnsi" w:hAnsiTheme="minorHAnsi"/>
          <w:b/>
          <w:color w:val="auto"/>
          <w:sz w:val="22"/>
          <w:szCs w:val="22"/>
        </w:rPr>
      </w:pPr>
      <w:r w:rsidRPr="000A77D2">
        <w:rPr>
          <w:rFonts w:asciiTheme="minorHAnsi" w:hAnsiTheme="minorHAnsi"/>
          <w:b/>
          <w:color w:val="auto"/>
          <w:sz w:val="22"/>
          <w:szCs w:val="22"/>
        </w:rPr>
        <w:t>Extenuating Circumstances</w:t>
      </w:r>
    </w:p>
    <w:p w:rsidR="005603DE" w:rsidRPr="000A77D2" w:rsidRDefault="005603DE" w:rsidP="00247CE4">
      <w:pPr>
        <w:pStyle w:val="NumberedPara"/>
        <w:spacing w:before="72"/>
        <w:rPr>
          <w:rFonts w:asciiTheme="minorHAnsi" w:hAnsiTheme="minorHAnsi"/>
          <w:b/>
          <w:sz w:val="22"/>
          <w:szCs w:val="22"/>
        </w:rPr>
      </w:pPr>
      <w:r w:rsidRPr="000A77D2">
        <w:rPr>
          <w:rFonts w:asciiTheme="minorHAnsi" w:hAnsiTheme="minorHAnsi"/>
          <w:color w:val="auto"/>
          <w:sz w:val="22"/>
          <w:szCs w:val="22"/>
        </w:rPr>
        <w:t xml:space="preserve">In some cases you may be unable to comply with the NI CPD policy (for example in cases of unemployment, maternity or sick leave).  In this case you may apply to the NI to a take a career break of a period not exceeding 3 years. </w:t>
      </w:r>
    </w:p>
    <w:p w:rsidR="009F0116" w:rsidRPr="000A77D2" w:rsidRDefault="009F0116" w:rsidP="000A77D2">
      <w:pPr>
        <w:jc w:val="both"/>
        <w:rPr>
          <w:szCs w:val="16"/>
        </w:rPr>
      </w:pPr>
    </w:p>
    <w:sectPr w:rsidR="009F0116" w:rsidRPr="000A77D2" w:rsidSect="00F27E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90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4FC" w:rsidRDefault="00FD04FC" w:rsidP="009F0116">
      <w:r>
        <w:separator/>
      </w:r>
    </w:p>
  </w:endnote>
  <w:endnote w:type="continuationSeparator" w:id="0">
    <w:p w:rsidR="00FD04FC" w:rsidRDefault="00FD04FC"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C" w:rsidRDefault="00FD0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C" w:rsidRDefault="00FD04FC" w:rsidP="008B002B">
    <w:pPr>
      <w:jc w:val="center"/>
      <w:rPr>
        <w:rFonts w:asciiTheme="minorHAnsi" w:hAnsiTheme="minorHAnsi"/>
        <w:sz w:val="18"/>
        <w:szCs w:val="18"/>
      </w:rPr>
    </w:pPr>
    <w:r>
      <w:rPr>
        <w:rFonts w:asciiTheme="minorHAnsi" w:hAnsiTheme="minorHAnsi"/>
        <w:sz w:val="18"/>
        <w:szCs w:val="18"/>
      </w:rPr>
      <w:t xml:space="preserve">CK International House, 1-6 Yarmouth Place, London W1J 7BU T: 0203 475 4701 E: </w:t>
    </w:r>
    <w:hyperlink r:id="rId1" w:history="1">
      <w:r>
        <w:rPr>
          <w:rStyle w:val="Hyperlink"/>
          <w:rFonts w:asciiTheme="minorHAnsi" w:hAnsiTheme="minorHAnsi"/>
          <w:sz w:val="18"/>
          <w:szCs w:val="18"/>
        </w:rPr>
        <w:t>membership@nuclearinst.com</w:t>
      </w:r>
    </w:hyperlink>
    <w:r>
      <w:rPr>
        <w:rFonts w:asciiTheme="minorHAnsi" w:hAnsiTheme="minorHAnsi"/>
      </w:rPr>
      <w:t xml:space="preserve"> </w:t>
    </w:r>
    <w:r>
      <w:rPr>
        <w:rFonts w:asciiTheme="minorHAnsi" w:hAnsiTheme="minorHAnsi"/>
        <w:sz w:val="18"/>
        <w:szCs w:val="18"/>
      </w:rPr>
      <w:br/>
      <w:t xml:space="preserve">Company </w:t>
    </w:r>
    <w:r>
      <w:rPr>
        <w:rFonts w:asciiTheme="minorHAnsi" w:hAnsiTheme="minorHAnsi"/>
        <w:color w:val="262626"/>
        <w:sz w:val="16"/>
        <w:szCs w:val="16"/>
      </w:rPr>
      <w:t>N</w:t>
    </w:r>
    <w:r>
      <w:rPr>
        <w:rFonts w:asciiTheme="minorHAnsi" w:hAnsiTheme="minorHAnsi"/>
        <w:color w:val="262626"/>
        <w:sz w:val="16"/>
        <w:szCs w:val="16"/>
        <w:vertAlign w:val="superscript"/>
      </w:rPr>
      <w:t>o</w:t>
    </w:r>
    <w:r>
      <w:rPr>
        <w:rFonts w:asciiTheme="minorHAnsi" w:hAnsiTheme="minorHAnsi"/>
        <w:color w:val="262626"/>
        <w:sz w:val="16"/>
        <w:szCs w:val="16"/>
      </w:rPr>
      <w:t xml:space="preserve"> </w:t>
    </w:r>
    <w:r>
      <w:rPr>
        <w:rFonts w:asciiTheme="minorHAnsi" w:hAnsiTheme="minorHAnsi"/>
        <w:sz w:val="18"/>
        <w:szCs w:val="18"/>
      </w:rPr>
      <w:t xml:space="preserve">06574762 Charity </w:t>
    </w:r>
    <w:r>
      <w:rPr>
        <w:rFonts w:asciiTheme="minorHAnsi" w:hAnsiTheme="minorHAnsi"/>
        <w:color w:val="262626"/>
        <w:sz w:val="16"/>
        <w:szCs w:val="16"/>
      </w:rPr>
      <w:t>N</w:t>
    </w:r>
    <w:r>
      <w:rPr>
        <w:rFonts w:asciiTheme="minorHAnsi" w:hAnsiTheme="minorHAnsi"/>
        <w:color w:val="262626"/>
        <w:sz w:val="16"/>
        <w:szCs w:val="16"/>
        <w:vertAlign w:val="superscript"/>
      </w:rPr>
      <w:t>o</w:t>
    </w:r>
    <w:r>
      <w:rPr>
        <w:rFonts w:asciiTheme="minorHAnsi" w:hAnsiTheme="minorHAnsi"/>
        <w:color w:val="262626"/>
        <w:sz w:val="16"/>
        <w:szCs w:val="16"/>
      </w:rPr>
      <w:t xml:space="preserve"> </w:t>
    </w:r>
    <w:r>
      <w:rPr>
        <w:rFonts w:asciiTheme="minorHAnsi" w:hAnsiTheme="minorHAnsi"/>
        <w:sz w:val="18"/>
        <w:szCs w:val="18"/>
      </w:rPr>
      <w:t>1125404</w:t>
    </w:r>
  </w:p>
  <w:p w:rsidR="00FD04FC" w:rsidRPr="008B002B" w:rsidRDefault="00FD04FC" w:rsidP="008B002B">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C" w:rsidRDefault="00FD0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4FC" w:rsidRDefault="00FD04FC" w:rsidP="009F0116">
      <w:r>
        <w:separator/>
      </w:r>
    </w:p>
  </w:footnote>
  <w:footnote w:type="continuationSeparator" w:id="0">
    <w:p w:rsidR="00FD04FC" w:rsidRDefault="00FD04FC"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C" w:rsidRDefault="00FD0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C" w:rsidRPr="00F165AC" w:rsidRDefault="00FD04FC">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FD04FC" w:rsidRPr="00F165AC" w:rsidTr="001A6ADF">
      <w:trPr>
        <w:trHeight w:val="1431"/>
      </w:trPr>
      <w:tc>
        <w:tcPr>
          <w:tcW w:w="1951" w:type="dxa"/>
        </w:tcPr>
        <w:p w:rsidR="00FD04FC" w:rsidRPr="00F165AC" w:rsidRDefault="00FD04FC">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FD04FC" w:rsidRPr="000A77D2" w:rsidRDefault="00FD04FC" w:rsidP="008B002B">
          <w:pPr>
            <w:pStyle w:val="Header"/>
            <w:tabs>
              <w:tab w:val="left" w:pos="2115"/>
              <w:tab w:val="center" w:pos="3010"/>
            </w:tabs>
            <w:jc w:val="center"/>
            <w:rPr>
              <w:rFonts w:asciiTheme="minorHAnsi" w:hAnsiTheme="minorHAnsi"/>
              <w:sz w:val="30"/>
              <w:szCs w:val="30"/>
            </w:rPr>
          </w:pPr>
          <w:r w:rsidRPr="000A77D2">
            <w:rPr>
              <w:rFonts w:asciiTheme="minorHAnsi" w:hAnsiTheme="minorHAnsi"/>
              <w:b/>
              <w:sz w:val="30"/>
              <w:szCs w:val="30"/>
            </w:rPr>
            <w:t>Professional Development Policy</w:t>
          </w:r>
        </w:p>
      </w:tc>
      <w:tc>
        <w:tcPr>
          <w:tcW w:w="2494" w:type="dxa"/>
        </w:tcPr>
        <w:p w:rsidR="00FD04FC" w:rsidRPr="000A77D2" w:rsidRDefault="00FD04FC" w:rsidP="00D3731F">
          <w:pPr>
            <w:pStyle w:val="Header"/>
            <w:rPr>
              <w:rFonts w:asciiTheme="minorHAnsi" w:hAnsiTheme="minorHAnsi"/>
              <w:b/>
              <w:sz w:val="22"/>
              <w:szCs w:val="22"/>
            </w:rPr>
          </w:pPr>
          <w:r w:rsidRPr="000A77D2">
            <w:rPr>
              <w:rFonts w:asciiTheme="minorHAnsi" w:hAnsiTheme="minorHAnsi"/>
              <w:b/>
              <w:sz w:val="22"/>
              <w:szCs w:val="22"/>
            </w:rPr>
            <w:t>Policy: 05</w:t>
          </w:r>
          <w:r w:rsidRPr="000A77D2">
            <w:rPr>
              <w:rFonts w:asciiTheme="minorHAnsi" w:hAnsiTheme="minorHAnsi"/>
              <w:b/>
              <w:sz w:val="22"/>
              <w:szCs w:val="22"/>
            </w:rPr>
            <w:br/>
            <w:t>Revision: 0</w:t>
          </w:r>
          <w:r>
            <w:rPr>
              <w:rFonts w:asciiTheme="minorHAnsi" w:hAnsiTheme="minorHAnsi"/>
              <w:b/>
              <w:sz w:val="22"/>
              <w:szCs w:val="22"/>
            </w:rPr>
            <w:t>4</w:t>
          </w:r>
        </w:p>
        <w:p w:rsidR="00FD04FC" w:rsidRPr="00CC343E" w:rsidRDefault="00FD04FC" w:rsidP="000A77D2">
          <w:pPr>
            <w:pStyle w:val="Header"/>
            <w:rPr>
              <w:rFonts w:ascii="Calibri" w:hAnsi="Calibri"/>
              <w:b/>
              <w:sz w:val="22"/>
              <w:szCs w:val="22"/>
            </w:rPr>
          </w:pPr>
          <w:r w:rsidRPr="00CC343E">
            <w:rPr>
              <w:rFonts w:ascii="Calibri" w:hAnsi="Calibri"/>
              <w:b/>
              <w:sz w:val="22"/>
              <w:szCs w:val="22"/>
            </w:rPr>
            <w:t>Date: 30 April 2014</w:t>
          </w:r>
        </w:p>
        <w:p w:rsidR="00FD04FC" w:rsidRPr="00CC343E" w:rsidRDefault="00FD04FC" w:rsidP="000A77D2">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247CE4">
                <w:rPr>
                  <w:rFonts w:asciiTheme="minorHAnsi" w:hAnsiTheme="minorHAnsi"/>
                  <w:b/>
                  <w:noProof/>
                  <w:sz w:val="22"/>
                  <w:szCs w:val="22"/>
                </w:rPr>
                <w:t>1</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247CE4">
                <w:rPr>
                  <w:rFonts w:asciiTheme="minorHAnsi" w:hAnsiTheme="minorHAnsi"/>
                  <w:b/>
                  <w:noProof/>
                  <w:sz w:val="22"/>
                  <w:szCs w:val="22"/>
                </w:rPr>
                <w:t>2</w:t>
              </w:r>
              <w:r w:rsidRPr="00CC343E">
                <w:rPr>
                  <w:rFonts w:asciiTheme="minorHAnsi" w:hAnsiTheme="minorHAnsi"/>
                  <w:b/>
                  <w:sz w:val="22"/>
                  <w:szCs w:val="22"/>
                </w:rPr>
                <w:fldChar w:fldCharType="end"/>
              </w:r>
            </w:sdtContent>
          </w:sdt>
        </w:p>
        <w:p w:rsidR="00FD04FC" w:rsidRPr="00F165AC" w:rsidRDefault="00FD04FC" w:rsidP="001518B0">
          <w:pPr>
            <w:pStyle w:val="Header"/>
            <w:rPr>
              <w:rFonts w:asciiTheme="minorHAnsi" w:hAnsiTheme="minorHAnsi"/>
            </w:rPr>
          </w:pPr>
          <w:r w:rsidRPr="00E9654E">
            <w:rPr>
              <w:rFonts w:asciiTheme="minorHAnsi" w:hAnsiTheme="minorHAnsi"/>
              <w:b/>
              <w:sz w:val="22"/>
              <w:szCs w:val="22"/>
            </w:rPr>
            <w:t>Last review: 28 July 2015</w:t>
          </w:r>
        </w:p>
      </w:tc>
    </w:tr>
  </w:tbl>
  <w:p w:rsidR="00FD04FC" w:rsidRPr="00F165AC" w:rsidRDefault="00FD04FC">
    <w:pPr>
      <w:pStyle w:val="Header"/>
      <w:rPr>
        <w:rFonts w:asciiTheme="minorHAnsi" w:hAnsiTheme="minorHAnsi"/>
      </w:rPr>
    </w:pPr>
  </w:p>
  <w:p w:rsidR="00FD04FC" w:rsidRPr="00F165AC" w:rsidRDefault="00FD04FC" w:rsidP="00D3731F">
    <w:pPr>
      <w:pStyle w:val="Header"/>
      <w:ind w:left="9360" w:hanging="9360"/>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FC" w:rsidRDefault="00FD0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49F"/>
    <w:multiLevelType w:val="hybridMultilevel"/>
    <w:tmpl w:val="F4E24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C5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DD2665"/>
    <w:multiLevelType w:val="hybridMultilevel"/>
    <w:tmpl w:val="E960BB42"/>
    <w:lvl w:ilvl="0" w:tplc="B686BA7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6AF0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78F3556"/>
    <w:multiLevelType w:val="hybridMultilevel"/>
    <w:tmpl w:val="9552F950"/>
    <w:lvl w:ilvl="0" w:tplc="ACF0E3E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21F43"/>
    <w:multiLevelType w:val="hybridMultilevel"/>
    <w:tmpl w:val="05760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142D277E"/>
    <w:multiLevelType w:val="hybridMultilevel"/>
    <w:tmpl w:val="75FCB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C875FE"/>
    <w:multiLevelType w:val="hybridMultilevel"/>
    <w:tmpl w:val="C6D8CD9E"/>
    <w:lvl w:ilvl="0" w:tplc="AB08DB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B116C2"/>
    <w:multiLevelType w:val="hybridMultilevel"/>
    <w:tmpl w:val="0F56D1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10A27F5"/>
    <w:multiLevelType w:val="hybridMultilevel"/>
    <w:tmpl w:val="57BAE8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5">
    <w:nsid w:val="2D597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F7A1290"/>
    <w:multiLevelType w:val="hybridMultilevel"/>
    <w:tmpl w:val="58B0B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FE48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1">
    <w:nsid w:val="4AB30116"/>
    <w:multiLevelType w:val="multilevel"/>
    <w:tmpl w:val="A2C0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F90D1A"/>
    <w:multiLevelType w:val="hybridMultilevel"/>
    <w:tmpl w:val="05B8C8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E6F3BDD"/>
    <w:multiLevelType w:val="hybridMultilevel"/>
    <w:tmpl w:val="A5EE4E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4EDA3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3274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50D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6345078"/>
    <w:multiLevelType w:val="hybridMultilevel"/>
    <w:tmpl w:val="B7D4D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0556DA"/>
    <w:multiLevelType w:val="hybridMultilevel"/>
    <w:tmpl w:val="5FDA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2A4FEF"/>
    <w:multiLevelType w:val="hybridMultilevel"/>
    <w:tmpl w:val="95569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D733408"/>
    <w:multiLevelType w:val="hybridMultilevel"/>
    <w:tmpl w:val="C0C82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0B42A9"/>
    <w:multiLevelType w:val="hybridMultilevel"/>
    <w:tmpl w:val="4F3048A8"/>
    <w:lvl w:ilvl="0" w:tplc="9BE292F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001390"/>
    <w:multiLevelType w:val="hybridMultilevel"/>
    <w:tmpl w:val="6AF6D806"/>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num w:numId="1">
    <w:abstractNumId w:val="8"/>
  </w:num>
  <w:num w:numId="2">
    <w:abstractNumId w:val="20"/>
  </w:num>
  <w:num w:numId="3">
    <w:abstractNumId w:val="14"/>
  </w:num>
  <w:num w:numId="4">
    <w:abstractNumId w:val="5"/>
  </w:num>
  <w:num w:numId="5">
    <w:abstractNumId w:val="37"/>
  </w:num>
  <w:num w:numId="6">
    <w:abstractNumId w:val="39"/>
  </w:num>
  <w:num w:numId="7">
    <w:abstractNumId w:val="32"/>
  </w:num>
  <w:num w:numId="8">
    <w:abstractNumId w:val="28"/>
  </w:num>
  <w:num w:numId="9">
    <w:abstractNumId w:val="30"/>
  </w:num>
  <w:num w:numId="10">
    <w:abstractNumId w:val="19"/>
  </w:num>
  <w:num w:numId="11">
    <w:abstractNumId w:val="33"/>
  </w:num>
  <w:num w:numId="12">
    <w:abstractNumId w:val="17"/>
  </w:num>
  <w:num w:numId="13">
    <w:abstractNumId w:val="29"/>
  </w:num>
  <w:num w:numId="14">
    <w:abstractNumId w:val="7"/>
  </w:num>
  <w:num w:numId="15">
    <w:abstractNumId w:val="34"/>
  </w:num>
  <w:num w:numId="16">
    <w:abstractNumId w:val="40"/>
  </w:num>
  <w:num w:numId="17">
    <w:abstractNumId w:val="11"/>
  </w:num>
  <w:num w:numId="18">
    <w:abstractNumId w:val="38"/>
  </w:num>
  <w:num w:numId="19">
    <w:abstractNumId w:val="12"/>
  </w:num>
  <w:num w:numId="20">
    <w:abstractNumId w:val="27"/>
  </w:num>
  <w:num w:numId="21">
    <w:abstractNumId w:val="16"/>
  </w:num>
  <w:num w:numId="22">
    <w:abstractNumId w:val="22"/>
  </w:num>
  <w:num w:numId="23">
    <w:abstractNumId w:val="13"/>
  </w:num>
  <w:num w:numId="24">
    <w:abstractNumId w:val="6"/>
  </w:num>
  <w:num w:numId="25">
    <w:abstractNumId w:val="23"/>
  </w:num>
  <w:num w:numId="26">
    <w:abstractNumId w:val="21"/>
  </w:num>
  <w:num w:numId="27">
    <w:abstractNumId w:val="26"/>
  </w:num>
  <w:num w:numId="28">
    <w:abstractNumId w:val="15"/>
  </w:num>
  <w:num w:numId="29">
    <w:abstractNumId w:val="24"/>
  </w:num>
  <w:num w:numId="30">
    <w:abstractNumId w:val="3"/>
  </w:num>
  <w:num w:numId="31">
    <w:abstractNumId w:val="1"/>
  </w:num>
  <w:num w:numId="32">
    <w:abstractNumId w:val="18"/>
  </w:num>
  <w:num w:numId="33">
    <w:abstractNumId w:val="25"/>
  </w:num>
  <w:num w:numId="34">
    <w:abstractNumId w:val="41"/>
  </w:num>
  <w:num w:numId="35">
    <w:abstractNumId w:val="36"/>
  </w:num>
  <w:num w:numId="36">
    <w:abstractNumId w:val="2"/>
  </w:num>
  <w:num w:numId="37">
    <w:abstractNumId w:val="4"/>
  </w:num>
  <w:num w:numId="38">
    <w:abstractNumId w:val="10"/>
  </w:num>
  <w:num w:numId="39">
    <w:abstractNumId w:val="9"/>
  </w:num>
  <w:num w:numId="40">
    <w:abstractNumId w:val="35"/>
  </w:num>
  <w:num w:numId="41">
    <w:abstractNumId w:val="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41AB"/>
    <w:rsid w:val="000A77D2"/>
    <w:rsid w:val="000E2345"/>
    <w:rsid w:val="000F07BD"/>
    <w:rsid w:val="001518B0"/>
    <w:rsid w:val="00192C3B"/>
    <w:rsid w:val="001A6ADF"/>
    <w:rsid w:val="001D5DB0"/>
    <w:rsid w:val="00247CE4"/>
    <w:rsid w:val="00264CCC"/>
    <w:rsid w:val="00267ED7"/>
    <w:rsid w:val="002B6DB7"/>
    <w:rsid w:val="004A0E67"/>
    <w:rsid w:val="004F4200"/>
    <w:rsid w:val="00540AC7"/>
    <w:rsid w:val="005437EB"/>
    <w:rsid w:val="00554C12"/>
    <w:rsid w:val="005603DE"/>
    <w:rsid w:val="005637BC"/>
    <w:rsid w:val="00650054"/>
    <w:rsid w:val="0071572A"/>
    <w:rsid w:val="00744E27"/>
    <w:rsid w:val="00794338"/>
    <w:rsid w:val="007C453B"/>
    <w:rsid w:val="008A2BA2"/>
    <w:rsid w:val="008B002B"/>
    <w:rsid w:val="00923D0C"/>
    <w:rsid w:val="00991A12"/>
    <w:rsid w:val="009F0116"/>
    <w:rsid w:val="00AB1A2B"/>
    <w:rsid w:val="00AC5BC8"/>
    <w:rsid w:val="00B8598D"/>
    <w:rsid w:val="00CE42B0"/>
    <w:rsid w:val="00D364F1"/>
    <w:rsid w:val="00D3731F"/>
    <w:rsid w:val="00D4353B"/>
    <w:rsid w:val="00DF7862"/>
    <w:rsid w:val="00E0374C"/>
    <w:rsid w:val="00E13503"/>
    <w:rsid w:val="00F10596"/>
    <w:rsid w:val="00F165AC"/>
    <w:rsid w:val="00F27EFA"/>
    <w:rsid w:val="00F34FA5"/>
    <w:rsid w:val="00F465D5"/>
    <w:rsid w:val="00FD04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71572A"/>
    <w:pPr>
      <w:keepNext/>
      <w:jc w:val="right"/>
      <w:outlineLvl w:val="0"/>
    </w:pPr>
    <w:rPr>
      <w:b/>
      <w:u w:val="single"/>
    </w:rPr>
  </w:style>
  <w:style w:type="paragraph" w:styleId="Heading2">
    <w:name w:val="heading 2"/>
    <w:basedOn w:val="Normal"/>
    <w:next w:val="Normal"/>
    <w:link w:val="Heading2Char"/>
    <w:uiPriority w:val="99"/>
    <w:qFormat/>
    <w:rsid w:val="0071572A"/>
    <w:pPr>
      <w:keepNext/>
      <w:jc w:val="center"/>
      <w:outlineLvl w:val="1"/>
    </w:pPr>
    <w:rPr>
      <w:b/>
      <w:sz w:val="28"/>
    </w:rPr>
  </w:style>
  <w:style w:type="paragraph" w:styleId="Heading3">
    <w:name w:val="heading 3"/>
    <w:basedOn w:val="Normal"/>
    <w:next w:val="Normal"/>
    <w:link w:val="Heading3Char"/>
    <w:uiPriority w:val="9"/>
    <w:semiHidden/>
    <w:unhideWhenUsed/>
    <w:qFormat/>
    <w:rsid w:val="004A0E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E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0E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NoSpacing">
    <w:name w:val="No Spacing"/>
    <w:uiPriority w:val="99"/>
    <w:qFormat/>
    <w:rsid w:val="0071572A"/>
    <w:pPr>
      <w:spacing w:after="0" w:line="240" w:lineRule="auto"/>
    </w:pPr>
    <w:rPr>
      <w:rFonts w:ascii="Calibri" w:eastAsia="Calibri" w:hAnsi="Calibri" w:cs="Times New Roman"/>
    </w:rPr>
  </w:style>
  <w:style w:type="character" w:customStyle="1" w:styleId="A9">
    <w:name w:val="A9"/>
    <w:uiPriority w:val="99"/>
    <w:rsid w:val="0071572A"/>
    <w:rPr>
      <w:color w:val="000000"/>
      <w:sz w:val="11"/>
    </w:rPr>
  </w:style>
  <w:style w:type="character" w:customStyle="1" w:styleId="Heading1Char">
    <w:name w:val="Heading 1 Char"/>
    <w:basedOn w:val="DefaultParagraphFont"/>
    <w:link w:val="Heading1"/>
    <w:uiPriority w:val="99"/>
    <w:rsid w:val="0071572A"/>
    <w:rPr>
      <w:rFonts w:ascii="Times New Roman" w:eastAsia="Times New Roman" w:hAnsi="Times New Roman" w:cs="Times New Roman"/>
      <w:b/>
      <w:sz w:val="20"/>
      <w:szCs w:val="20"/>
      <w:u w:val="single"/>
      <w:lang w:eastAsia="en-GB"/>
    </w:rPr>
  </w:style>
  <w:style w:type="character" w:customStyle="1" w:styleId="Heading2Char">
    <w:name w:val="Heading 2 Char"/>
    <w:basedOn w:val="DefaultParagraphFont"/>
    <w:link w:val="Heading2"/>
    <w:uiPriority w:val="99"/>
    <w:rsid w:val="0071572A"/>
    <w:rPr>
      <w:rFonts w:ascii="Times New Roman" w:eastAsia="Times New Roman" w:hAnsi="Times New Roman" w:cs="Times New Roman"/>
      <w:b/>
      <w:sz w:val="28"/>
      <w:szCs w:val="20"/>
      <w:lang w:eastAsia="en-GB"/>
    </w:rPr>
  </w:style>
  <w:style w:type="paragraph" w:customStyle="1" w:styleId="NumberedPara">
    <w:name w:val="Numbered Para"/>
    <w:uiPriority w:val="99"/>
    <w:rsid w:val="0071572A"/>
    <w:pPr>
      <w:spacing w:after="0" w:line="240" w:lineRule="auto"/>
      <w:jc w:val="both"/>
    </w:pPr>
    <w:rPr>
      <w:rFonts w:ascii="Arial" w:eastAsia="Times New Roman" w:hAnsi="Arial" w:cs="Times New Roman"/>
      <w:color w:val="000000"/>
      <w:sz w:val="20"/>
      <w:szCs w:val="20"/>
      <w:lang w:val="en-US"/>
    </w:rPr>
  </w:style>
  <w:style w:type="paragraph" w:customStyle="1" w:styleId="Bullet1">
    <w:name w:val="Bullet 1"/>
    <w:rsid w:val="0071572A"/>
    <w:pPr>
      <w:spacing w:after="0" w:line="240" w:lineRule="auto"/>
      <w:jc w:val="both"/>
    </w:pPr>
    <w:rPr>
      <w:rFonts w:ascii="Arial" w:eastAsia="Times New Roman" w:hAnsi="Arial" w:cs="Times New Roman"/>
      <w:color w:val="000000"/>
      <w:sz w:val="20"/>
      <w:szCs w:val="20"/>
      <w:lang w:val="en-US"/>
    </w:rPr>
  </w:style>
  <w:style w:type="paragraph" w:styleId="Title">
    <w:name w:val="Title"/>
    <w:link w:val="TitleChar"/>
    <w:uiPriority w:val="99"/>
    <w:qFormat/>
    <w:rsid w:val="0071572A"/>
    <w:pPr>
      <w:spacing w:after="0" w:line="240" w:lineRule="auto"/>
    </w:pPr>
    <w:rPr>
      <w:rFonts w:ascii="Times New Roman" w:eastAsia="Times New Roman" w:hAnsi="Times New Roman" w:cs="Times New Roman"/>
      <w:b/>
      <w:color w:val="000000"/>
      <w:sz w:val="36"/>
      <w:szCs w:val="20"/>
      <w:lang w:val="en-US"/>
    </w:rPr>
  </w:style>
  <w:style w:type="character" w:customStyle="1" w:styleId="TitleChar">
    <w:name w:val="Title Char"/>
    <w:basedOn w:val="DefaultParagraphFont"/>
    <w:link w:val="Title"/>
    <w:uiPriority w:val="99"/>
    <w:rsid w:val="0071572A"/>
    <w:rPr>
      <w:rFonts w:ascii="Times New Roman" w:eastAsia="Times New Roman" w:hAnsi="Times New Roman" w:cs="Times New Roman"/>
      <w:b/>
      <w:color w:val="000000"/>
      <w:sz w:val="36"/>
      <w:szCs w:val="20"/>
      <w:lang w:val="en-US"/>
    </w:rPr>
  </w:style>
  <w:style w:type="paragraph" w:customStyle="1" w:styleId="LetterList">
    <w:name w:val="Letter List"/>
    <w:rsid w:val="0071572A"/>
    <w:pPr>
      <w:spacing w:after="0" w:line="240" w:lineRule="auto"/>
      <w:jc w:val="both"/>
    </w:pPr>
    <w:rPr>
      <w:rFonts w:ascii="Arial" w:eastAsia="Times New Roman" w:hAnsi="Arial" w:cs="Times New Roman"/>
      <w:color w:val="000000"/>
      <w:sz w:val="20"/>
      <w:szCs w:val="20"/>
      <w:lang w:val="en-US"/>
    </w:rPr>
  </w:style>
  <w:style w:type="character" w:styleId="Strong">
    <w:name w:val="Strong"/>
    <w:basedOn w:val="DefaultParagraphFont"/>
    <w:qFormat/>
    <w:rsid w:val="00D364F1"/>
    <w:rPr>
      <w:b/>
      <w:bCs/>
    </w:rPr>
  </w:style>
  <w:style w:type="paragraph" w:styleId="NormalWeb">
    <w:name w:val="Normal (Web)"/>
    <w:basedOn w:val="Normal"/>
    <w:rsid w:val="00D364F1"/>
    <w:pPr>
      <w:spacing w:before="100" w:beforeAutospacing="1" w:after="100" w:afterAutospacing="1"/>
    </w:pPr>
    <w:rPr>
      <w:sz w:val="24"/>
      <w:szCs w:val="24"/>
    </w:rPr>
  </w:style>
  <w:style w:type="paragraph" w:styleId="BodyText">
    <w:name w:val="Body Text"/>
    <w:basedOn w:val="Normal"/>
    <w:link w:val="BodyTextChar"/>
    <w:semiHidden/>
    <w:rsid w:val="00554C12"/>
    <w:pPr>
      <w:jc w:val="both"/>
    </w:pPr>
    <w:rPr>
      <w:sz w:val="24"/>
    </w:rPr>
  </w:style>
  <w:style w:type="character" w:customStyle="1" w:styleId="BodyTextChar">
    <w:name w:val="Body Text Char"/>
    <w:basedOn w:val="DefaultParagraphFont"/>
    <w:link w:val="BodyText"/>
    <w:semiHidden/>
    <w:rsid w:val="00554C12"/>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uiPriority w:val="9"/>
    <w:semiHidden/>
    <w:rsid w:val="004A0E67"/>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4A0E67"/>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uiPriority w:val="9"/>
    <w:semiHidden/>
    <w:rsid w:val="004A0E67"/>
    <w:rPr>
      <w:rFonts w:asciiTheme="majorHAnsi" w:eastAsiaTheme="majorEastAsia" w:hAnsiTheme="majorHAnsi" w:cstheme="majorBidi"/>
      <w:color w:val="243F60" w:themeColor="accent1" w:themeShade="7F"/>
      <w:sz w:val="20"/>
      <w:szCs w:val="20"/>
      <w:lang w:eastAsia="en-GB"/>
    </w:rPr>
  </w:style>
  <w:style w:type="paragraph" w:styleId="ListParagraph">
    <w:name w:val="List Paragraph"/>
    <w:basedOn w:val="Normal"/>
    <w:uiPriority w:val="99"/>
    <w:qFormat/>
    <w:rsid w:val="004A0E67"/>
    <w:pPr>
      <w:ind w:left="720"/>
    </w:pPr>
  </w:style>
  <w:style w:type="paragraph" w:styleId="BodyTextIndent">
    <w:name w:val="Body Text Indent"/>
    <w:basedOn w:val="Normal"/>
    <w:link w:val="BodyTextIndentChar"/>
    <w:uiPriority w:val="99"/>
    <w:semiHidden/>
    <w:rsid w:val="004A0E67"/>
    <w:pPr>
      <w:spacing w:after="120"/>
      <w:ind w:left="283"/>
    </w:pPr>
  </w:style>
  <w:style w:type="character" w:customStyle="1" w:styleId="BodyTextIndentChar">
    <w:name w:val="Body Text Indent Char"/>
    <w:basedOn w:val="DefaultParagraphFont"/>
    <w:link w:val="BodyTextIndent"/>
    <w:uiPriority w:val="99"/>
    <w:semiHidden/>
    <w:rsid w:val="004A0E67"/>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16325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CF91A-F688-46A8-84DE-49E3AD82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kroegelr</dc:creator>
  <cp:keywords/>
  <dc:description/>
  <cp:lastModifiedBy>AnnaWright</cp:lastModifiedBy>
  <cp:revision>13</cp:revision>
  <dcterms:created xsi:type="dcterms:W3CDTF">2013-01-30T12:31:00Z</dcterms:created>
  <dcterms:modified xsi:type="dcterms:W3CDTF">2015-08-27T13:42:00Z</dcterms:modified>
</cp:coreProperties>
</file>